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F3081">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1</w:t>
      </w:r>
      <w:r>
        <w:rPr>
          <w:rFonts w:hint="eastAsia" w:ascii="Times New Roman" w:hAnsi="Times New Roman" w:eastAsia="宋体" w:cs="Times New Roman"/>
          <w:b/>
          <w:bCs/>
          <w:sz w:val="22"/>
        </w:rPr>
        <w:t xml:space="preserve">章 </w:t>
      </w:r>
      <w:r>
        <w:rPr>
          <w:rFonts w:hint="eastAsia" w:ascii="Times New Roman" w:hAnsi="Times New Roman" w:eastAsia="宋体" w:cs="Times New Roman"/>
          <w:b/>
          <w:bCs/>
          <w:sz w:val="22"/>
          <w:lang w:val="en-US" w:eastAsia="zh-CN"/>
        </w:rPr>
        <w:t>认识化学科学</w:t>
      </w:r>
    </w:p>
    <w:p w14:paraId="1C50C44D">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3</w:t>
      </w:r>
      <w:r>
        <w:rPr>
          <w:rFonts w:hint="eastAsia" w:ascii="Times New Roman" w:hAnsi="Times New Roman" w:eastAsia="宋体" w:cs="Times New Roman"/>
          <w:b/>
          <w:bCs/>
          <w:sz w:val="22"/>
        </w:rPr>
        <w:t xml:space="preserve">节 </w:t>
      </w:r>
      <w:r>
        <w:rPr>
          <w:rFonts w:hint="eastAsia" w:ascii="Times New Roman" w:hAnsi="Times New Roman" w:eastAsia="宋体" w:cs="Times New Roman"/>
          <w:b/>
          <w:bCs/>
          <w:sz w:val="22"/>
          <w:lang w:val="en-US" w:eastAsia="zh-CN"/>
        </w:rPr>
        <w:t>化学中常用的物理量——物质的量</w:t>
      </w:r>
    </w:p>
    <w:p w14:paraId="5D96E7BE">
      <w:pPr>
        <w:jc w:val="center"/>
        <w:rPr>
          <w:rFonts w:hint="eastAsia" w:ascii="Times New Roman" w:hAnsi="Times New Roman" w:eastAsia="宋体" w:cs="Times New Roman"/>
          <w:b/>
          <w:bCs/>
          <w:sz w:val="22"/>
          <w:lang w:val="en-US" w:eastAsia="zh-CN"/>
        </w:rPr>
      </w:pPr>
      <w:bookmarkStart w:id="1" w:name="_GoBack"/>
      <w:r>
        <w:rPr>
          <w:rFonts w:hint="eastAsia" w:ascii="Times New Roman" w:hAnsi="Times New Roman" w:eastAsia="宋体" w:cs="Times New Roman"/>
          <w:b/>
          <w:bCs/>
          <w:sz w:val="22"/>
        </w:rPr>
        <w:t>课时</w:t>
      </w:r>
      <w:r>
        <w:rPr>
          <w:rFonts w:hint="eastAsia" w:ascii="Times New Roman" w:hAnsi="Times New Roman" w:eastAsia="宋体" w:cs="Times New Roman"/>
          <w:b/>
          <w:bCs/>
          <w:sz w:val="22"/>
          <w:lang w:val="en-US" w:eastAsia="zh-CN"/>
        </w:rPr>
        <w:t>3物质的量浓度</w:t>
      </w:r>
    </w:p>
    <w:bookmarkEnd w:id="1"/>
    <w:p w14:paraId="545D9144">
      <w:pPr>
        <w:pStyle w:val="2"/>
        <w:tabs>
          <w:tab w:val="left" w:pos="3402"/>
        </w:tabs>
        <w:snapToGrid w:val="0"/>
        <w:spacing w:line="360" w:lineRule="auto"/>
        <w:jc w:val="both"/>
        <w:rPr>
          <w:rFonts w:ascii="Times New Roman" w:hAnsi="Times New Roman" w:cs="Times New Roman"/>
        </w:rPr>
      </w:pPr>
      <w:r>
        <w:rPr>
          <w:rFonts w:ascii="Times New Roman" w:hAnsi="Times New Roman" w:eastAsia="黑体" w:cs="Times New Roman"/>
        </w:rPr>
        <w:t>一、物质的量浓度</w:t>
      </w:r>
    </w:p>
    <w:p w14:paraId="425A219E">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溶质的质量分数</w:t>
      </w:r>
    </w:p>
    <w:p w14:paraId="209586D4">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"E:\\司瑞晴\\2023\\步步高\\同步\\步步高　化学　必修第一册(人教版)\\2-97A.TIF"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必修第一册(人教版)\\2-97A.TIF"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必修第一册(人教版)\\2-97A.TIF"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必修第一册(人教版)\\word\\2-97A.TIF"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必修第一册\\教师WORD(司瑞晴做)\\第二章　海水中的重要元素——钠和氯\\2-97A.TIF"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必修第一册\\教师WORD(司瑞晴做)\\第二章　海水中的重要元素——钠和氯\\2-97A.TIF"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必修第一册\\教师WORD(司瑞晴做)\\第二章　海水中的重要元素——钠和氯\\2-97A.TIF"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525395" cy="615315"/>
            <wp:effectExtent l="0" t="0" r="8255" b="13335"/>
            <wp:docPr id="59"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8"/>
                    <pic:cNvPicPr>
                      <a:picLocks noChangeAspect="1"/>
                    </pic:cNvPicPr>
                  </pic:nvPicPr>
                  <pic:blipFill>
                    <a:blip r:embed="rId6" r:link="rId7"/>
                    <a:stretch>
                      <a:fillRect/>
                    </a:stretch>
                  </pic:blipFill>
                  <pic:spPr>
                    <a:xfrm>
                      <a:off x="0" y="0"/>
                      <a:ext cx="2525395" cy="61531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1E8F8806">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溶质的物质的量浓度</w:t>
      </w:r>
    </w:p>
    <w:p w14:paraId="19155703">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"E:\\司瑞晴\\2023\\步步高\\同步\\步步高　化学　必修第一册(人教版)\\2-97.TIF"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必修第一册(人教版)\\2-97.TIF"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必修第一册(人教版)\\2-97.TIF"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必修第一册(人教版)\\word\\2-97.TIF"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必修第一册\\教师WORD(司瑞晴做)\\第二章　海水中的重要元素——钠和氯\\2-97.TIF"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必修第一册\\教师WORD(司瑞晴做)\\第二章　海水中的重要元素——钠和氯\\2-97.TIF"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必修第一册\\教师WORD(司瑞晴做)\\第二章　海水中的重要元素——钠和氯\\2-97.TIF"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650490" cy="1295400"/>
            <wp:effectExtent l="0" t="0" r="16510" b="0"/>
            <wp:docPr id="60"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9"/>
                    <pic:cNvPicPr>
                      <a:picLocks noChangeAspect="1"/>
                    </pic:cNvPicPr>
                  </pic:nvPicPr>
                  <pic:blipFill>
                    <a:blip r:embed="rId8" r:link="rId9"/>
                    <a:stretch>
                      <a:fillRect/>
                    </a:stretch>
                  </pic:blipFill>
                  <pic:spPr>
                    <a:xfrm>
                      <a:off x="0" y="0"/>
                      <a:ext cx="2650490" cy="129540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54C4C11B">
      <w:pPr>
        <w:pStyle w:val="2"/>
        <w:tabs>
          <w:tab w:val="left" w:pos="3402"/>
        </w:tabs>
        <w:snapToGrid w:val="0"/>
        <w:spacing w:line="360" w:lineRule="auto"/>
        <w:jc w:val="both"/>
        <w:rPr>
          <w:rFonts w:ascii="Times New Roman" w:hAnsi="Times New Roman" w:cs="Times New Roman"/>
        </w:rPr>
      </w:pPr>
      <w:r>
        <w:rPr>
          <w:rFonts w:ascii="Times New Roman" w:hAnsi="Times New Roman" w:eastAsia="黑体" w:cs="Times New Roman"/>
        </w:rPr>
        <w:t>二、物质的量浓度的相关计算</w:t>
      </w:r>
    </w:p>
    <w:p w14:paraId="7249A030">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与定义式有关的计算</w:t>
      </w:r>
    </w:p>
    <w:p w14:paraId="3A356DB2">
      <w:pPr>
        <w:pStyle w:val="2"/>
        <w:tabs>
          <w:tab w:val="left" w:pos="3402"/>
        </w:tabs>
        <w:snapToGrid w:val="0"/>
        <w:spacing w:line="360" w:lineRule="auto"/>
        <w:rPr>
          <w:rFonts w:ascii="Times New Roman" w:hAnsi="Times New Roman" w:cs="Times New Roman"/>
        </w:rPr>
      </w:pPr>
      <w:r>
        <w:rPr>
          <w:rFonts w:ascii="Times New Roman" w:hAnsi="Times New Roman" w:cs="Times New Roman"/>
        </w:rPr>
        <w:t>根据</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n</w:instrText>
      </w:r>
      <w:r>
        <w:rPr>
          <w:rFonts w:ascii="Times New Roman" w:hAnsi="Times New Roman" w:cs="Times New Roman"/>
          <w:vertAlign w:val="subscript"/>
        </w:rPr>
        <w:instrText xml:space="preserve">B</w:instrText>
      </w:r>
      <w:r>
        <w:rPr>
          <w:rFonts w:ascii="Times New Roman" w:hAnsi="Times New Roman" w:cs="Times New Roman"/>
        </w:rPr>
        <w:instrText xml:space="preserve">,</w:instrText>
      </w:r>
      <w:r>
        <w:rPr>
          <w:rFonts w:ascii="Times New Roman" w:hAnsi="Times New Roman" w:cs="Times New Roman"/>
          <w:i/>
        </w:rPr>
        <w:instrText xml:space="preserve">V</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，欲求</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rPr>
        <w:t>，先求</w:t>
      </w:r>
      <w:r>
        <w:rPr>
          <w:rFonts w:ascii="Times New Roman" w:hAnsi="Times New Roman" w:cs="Times New Roman"/>
          <w:i/>
        </w:rPr>
        <w:t>n</w:t>
      </w:r>
      <w:r>
        <w:rPr>
          <w:rFonts w:ascii="Times New Roman" w:hAnsi="Times New Roman" w:cs="Times New Roman"/>
          <w:vertAlign w:val="subscript"/>
        </w:rPr>
        <w:t>B</w:t>
      </w:r>
      <w:r>
        <w:rPr>
          <w:rFonts w:ascii="Times New Roman" w:hAnsi="Times New Roman" w:cs="Times New Roman"/>
        </w:rPr>
        <w:t>和</w:t>
      </w:r>
      <w:r>
        <w:rPr>
          <w:rFonts w:ascii="Times New Roman" w:hAnsi="Times New Roman" w:cs="Times New Roman"/>
          <w:i/>
        </w:rPr>
        <w:t>V</w:t>
      </w:r>
      <w:r>
        <w:rPr>
          <w:rFonts w:ascii="Times New Roman" w:hAnsi="Times New Roman" w:cs="Times New Roman"/>
        </w:rPr>
        <w:t>。计算溶质的物质的量浓度的关键是从已知条件中找出溶质的物质的量(mol)和溶液的体积(L)，据此求出溶质的物质的量浓度</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rPr>
        <w:t>。</w:t>
      </w:r>
    </w:p>
    <w:p w14:paraId="23F47274">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溶液稀释(或浓缩)有关的计算</w:t>
      </w:r>
    </w:p>
    <w:p w14:paraId="5F983645">
      <w:pPr>
        <w:pStyle w:val="2"/>
        <w:tabs>
          <w:tab w:val="left" w:pos="3402"/>
        </w:tabs>
        <w:snapToGrid w:val="0"/>
        <w:spacing w:line="360" w:lineRule="auto"/>
        <w:rPr>
          <w:rFonts w:ascii="Times New Roman" w:hAnsi="Times New Roman" w:cs="Times New Roman"/>
        </w:rPr>
      </w:pPr>
      <w:r>
        <w:rPr>
          <w:rFonts w:ascii="Times New Roman" w:hAnsi="Times New Roman" w:cs="Times New Roman"/>
        </w:rPr>
        <w:t>溶质的物质的量不变：</w:t>
      </w:r>
      <w:r>
        <w:rPr>
          <w:rFonts w:ascii="Times New Roman" w:hAnsi="Times New Roman" w:cs="Times New Roman"/>
          <w:i/>
        </w:rPr>
        <w:t>c</w:t>
      </w:r>
      <w:r>
        <w:rPr>
          <w:rFonts w:ascii="Times New Roman" w:hAnsi="Times New Roman" w:cs="Times New Roman"/>
        </w:rPr>
        <w:t>(浓)·</w:t>
      </w:r>
      <w:r>
        <w:rPr>
          <w:rFonts w:ascii="Times New Roman" w:hAnsi="Times New Roman" w:cs="Times New Roman"/>
          <w:i/>
        </w:rPr>
        <w:t>V</w:t>
      </w:r>
      <w:r>
        <w:rPr>
          <w:rFonts w:ascii="Times New Roman" w:hAnsi="Times New Roman" w:cs="Times New Roman"/>
        </w:rPr>
        <w:t>(浓)＝</w:t>
      </w:r>
      <w:r>
        <w:rPr>
          <w:rFonts w:ascii="Times New Roman" w:hAnsi="Times New Roman" w:cs="Times New Roman"/>
          <w:i/>
        </w:rPr>
        <w:t>c</w:t>
      </w:r>
      <w:r>
        <w:rPr>
          <w:rFonts w:ascii="Times New Roman" w:hAnsi="Times New Roman" w:cs="Times New Roman"/>
        </w:rPr>
        <w:t>(稀)·</w:t>
      </w:r>
      <w:r>
        <w:rPr>
          <w:rFonts w:ascii="Times New Roman" w:hAnsi="Times New Roman" w:cs="Times New Roman"/>
          <w:i/>
        </w:rPr>
        <w:t>V</w:t>
      </w:r>
      <w:r>
        <w:rPr>
          <w:rFonts w:ascii="Times New Roman" w:hAnsi="Times New Roman" w:cs="Times New Roman"/>
        </w:rPr>
        <w:t>(稀)；</w:t>
      </w:r>
    </w:p>
    <w:p w14:paraId="0592EF93">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溶质相同的两溶液混合</w:t>
      </w:r>
    </w:p>
    <w:p w14:paraId="4C4E2752">
      <w:pPr>
        <w:pStyle w:val="2"/>
        <w:tabs>
          <w:tab w:val="left" w:pos="3402"/>
        </w:tabs>
        <w:snapToGrid w:val="0"/>
        <w:spacing w:line="360" w:lineRule="auto"/>
        <w:rPr>
          <w:rFonts w:ascii="Times New Roman" w:hAnsi="Times New Roman" w:cs="Times New Roman"/>
        </w:rPr>
      </w:pPr>
      <w:r>
        <w:rPr>
          <w:rFonts w:ascii="Times New Roman" w:hAnsi="Times New Roman" w:cs="Times New Roman"/>
        </w:rPr>
        <w:t>溶质的物质的量不变：</w:t>
      </w:r>
      <w:r>
        <w:rPr>
          <w:rFonts w:ascii="Times New Roman" w:hAnsi="Times New Roman" w:cs="Times New Roman"/>
          <w:i/>
        </w:rPr>
        <w:t>c</w:t>
      </w:r>
      <w:r>
        <w:rPr>
          <w:rFonts w:ascii="Times New Roman" w:hAnsi="Times New Roman" w:cs="Times New Roman"/>
          <w:vertAlign w:val="subscript"/>
        </w:rPr>
        <w:t>1</w:t>
      </w:r>
      <w:r>
        <w:rPr>
          <w:rFonts w:ascii="Times New Roman" w:hAnsi="Times New Roman" w:cs="Times New Roman"/>
          <w:i/>
        </w:rPr>
        <w:t>V</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c</w:t>
      </w:r>
      <w:r>
        <w:rPr>
          <w:rFonts w:ascii="Times New Roman" w:hAnsi="Times New Roman" w:cs="Times New Roman"/>
          <w:vertAlign w:val="subscript"/>
        </w:rPr>
        <w:t>2</w:t>
      </w:r>
      <w:r>
        <w:rPr>
          <w:rFonts w:ascii="Times New Roman" w:hAnsi="Times New Roman" w:cs="Times New Roman"/>
          <w:i/>
        </w:rPr>
        <w:t>V</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(混)·</w:t>
      </w:r>
      <w:r>
        <w:rPr>
          <w:rFonts w:ascii="Times New Roman" w:hAnsi="Times New Roman" w:cs="Times New Roman"/>
          <w:i/>
        </w:rPr>
        <w:t>V</w:t>
      </w:r>
      <w:r>
        <w:rPr>
          <w:rFonts w:ascii="Times New Roman" w:hAnsi="Times New Roman" w:cs="Times New Roman"/>
        </w:rPr>
        <w:t>(混)；</w:t>
      </w:r>
    </w:p>
    <w:p w14:paraId="08F9A35C">
      <w:pPr>
        <w:pStyle w:val="2"/>
        <w:tabs>
          <w:tab w:val="left" w:pos="3402"/>
        </w:tabs>
        <w:snapToGrid w:val="0"/>
        <w:spacing w:line="360" w:lineRule="auto"/>
        <w:rPr>
          <w:rFonts w:ascii="Times New Roman" w:hAnsi="Times New Roman" w:cs="Times New Roman"/>
        </w:rPr>
      </w:pPr>
      <w:r>
        <w:rPr>
          <w:rFonts w:ascii="Times New Roman" w:hAnsi="Times New Roman" w:cs="Times New Roman"/>
        </w:rPr>
        <w:t>溶质的质量不变：</w:t>
      </w:r>
      <w:r>
        <w:rPr>
          <w:rFonts w:ascii="Times New Roman" w:hAnsi="Times New Roman" w:cs="Times New Roman"/>
          <w:i/>
        </w:rPr>
        <w:t>m</w:t>
      </w:r>
      <w:r>
        <w:rPr>
          <w:rFonts w:ascii="Times New Roman" w:hAnsi="Times New Roman" w:cs="Times New Roman"/>
          <w:vertAlign w:val="subscript"/>
        </w:rPr>
        <w:t>1</w:t>
      </w:r>
      <w:r>
        <w:rPr>
          <w:rFonts w:ascii="Book Antiqua" w:hAnsi="Book Antiqua" w:cs="Times New Roman"/>
          <w:i/>
        </w:rPr>
        <w:t>w</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m</w:t>
      </w:r>
      <w:r>
        <w:rPr>
          <w:rFonts w:ascii="Times New Roman" w:hAnsi="Times New Roman" w:cs="Times New Roman"/>
          <w:vertAlign w:val="subscript"/>
        </w:rPr>
        <w:t>2</w:t>
      </w:r>
      <w:r>
        <w:rPr>
          <w:rFonts w:ascii="Book Antiqua" w:hAnsi="Book Antiqua" w:cs="Times New Roman"/>
          <w:i/>
        </w:rPr>
        <w:t>w</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m</w:t>
      </w:r>
      <w:r>
        <w:rPr>
          <w:rFonts w:ascii="Times New Roman" w:hAnsi="Times New Roman" w:cs="Times New Roman"/>
        </w:rPr>
        <w:t>(混)·</w:t>
      </w:r>
      <w:r>
        <w:rPr>
          <w:rFonts w:ascii="Book Antiqua" w:hAnsi="Book Antiqua" w:cs="Times New Roman"/>
          <w:i/>
        </w:rPr>
        <w:t>w</w:t>
      </w:r>
      <w:r>
        <w:rPr>
          <w:rFonts w:ascii="Times New Roman" w:hAnsi="Times New Roman" w:cs="Times New Roman"/>
        </w:rPr>
        <w:t>(混)。</w:t>
      </w:r>
    </w:p>
    <w:p w14:paraId="287A082F">
      <w:pPr>
        <w:pStyle w:val="2"/>
        <w:tabs>
          <w:tab w:val="left" w:pos="3402"/>
        </w:tabs>
        <w:snapToGrid w:val="0"/>
        <w:spacing w:line="360" w:lineRule="auto"/>
        <w:rPr>
          <w:rFonts w:ascii="Times New Roman" w:hAnsi="Times New Roman" w:cs="Times New Roman"/>
        </w:rPr>
      </w:pPr>
      <w:r>
        <w:rPr>
          <w:rFonts w:ascii="Times New Roman" w:hAnsi="Times New Roman" w:cs="Times New Roman"/>
        </w:rPr>
        <w:t>4．</w:t>
      </w:r>
      <w:r>
        <w:rPr>
          <w:rFonts w:ascii="Times New Roman" w:hAnsi="Times New Roman" w:eastAsia="黑体" w:cs="Times New Roman"/>
        </w:rPr>
        <w:t>电荷守恒关系</w:t>
      </w:r>
    </w:p>
    <w:p w14:paraId="06037407">
      <w:pPr>
        <w:pStyle w:val="2"/>
        <w:tabs>
          <w:tab w:val="left" w:pos="3402"/>
        </w:tabs>
        <w:snapToGrid w:val="0"/>
        <w:spacing w:line="360" w:lineRule="auto"/>
        <w:rPr>
          <w:rFonts w:hint="eastAsia" w:ascii="Times New Roman" w:hAnsi="Times New Roman" w:eastAsia="黑体" w:cs="Times New Roman"/>
          <w:lang w:val="en-US" w:eastAsia="zh-CN"/>
        </w:rPr>
      </w:pPr>
      <w:r>
        <w:rPr>
          <w:rFonts w:ascii="Times New Roman" w:hAnsi="Times New Roman" w:cs="Times New Roman"/>
        </w:rPr>
        <w:t>在溶液中阳离子所带的正电荷总数＝阴离子所带的负电荷总数。如Na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和NaCl的混合溶液中：</w:t>
      </w:r>
      <w:r>
        <w:rPr>
          <w:rFonts w:ascii="Times New Roman" w:hAnsi="Times New Roman" w:cs="Times New Roman"/>
          <w:i/>
        </w:rPr>
        <w:t>c</w:t>
      </w:r>
      <w:r>
        <w:rPr>
          <w:rFonts w:ascii="Times New Roman" w:hAnsi="Times New Roman" w:cs="Times New Roman"/>
        </w:rPr>
        <w:t>(Na</w:t>
      </w:r>
      <w:r>
        <w:rPr>
          <w:rFonts w:ascii="Times New Roman" w:hAnsi="Times New Roman" w:cs="Times New Roman"/>
          <w:vertAlign w:val="superscript"/>
        </w:rPr>
        <w:t>＋</w:t>
      </w:r>
      <w:r>
        <w:rPr>
          <w:rFonts w:ascii="Times New Roman" w:hAnsi="Times New Roman" w:cs="Times New Roman"/>
        </w:rPr>
        <w:t>)＝2</w:t>
      </w:r>
      <w:r>
        <w:rPr>
          <w:rFonts w:ascii="Times New Roman" w:hAnsi="Times New Roman" w:cs="Times New Roman"/>
          <w:i/>
        </w:rPr>
        <w:t>c</w:t>
      </w:r>
      <w:r>
        <w:rPr>
          <w:rFonts w:ascii="Times New Roman" w:hAnsi="Times New Roman" w:cs="Times New Roman"/>
        </w:rPr>
        <w:t>(SO</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vertAlign w:val="subscript"/>
        </w:rPr>
        <w:instrText xml:space="preserve">4</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c</w:t>
      </w:r>
      <w:r>
        <w:rPr>
          <w:rFonts w:ascii="Times New Roman" w:hAnsi="Times New Roman" w:cs="Times New Roman"/>
        </w:rPr>
        <w:t>(Cl</w:t>
      </w:r>
      <w:r>
        <w:rPr>
          <w:rFonts w:ascii="Times New Roman" w:hAnsi="Times New Roman" w:cs="Times New Roman"/>
          <w:vertAlign w:val="superscript"/>
        </w:rPr>
        <w:t>－</w:t>
      </w:r>
      <w:r>
        <w:rPr>
          <w:rFonts w:ascii="Times New Roman" w:hAnsi="Times New Roman" w:cs="Times New Roman"/>
        </w:rPr>
        <w:t>)</w:t>
      </w:r>
    </w:p>
    <w:p w14:paraId="72D62904">
      <w:pPr>
        <w:pStyle w:val="2"/>
        <w:tabs>
          <w:tab w:val="left" w:pos="3402"/>
        </w:tabs>
        <w:snapToGrid w:val="0"/>
        <w:spacing w:line="360" w:lineRule="auto"/>
        <w:jc w:val="both"/>
        <w:rPr>
          <w:rFonts w:hint="eastAsia" w:ascii="Times New Roman" w:hAnsi="Times New Roman" w:eastAsia="黑体" w:cs="Times New Roman"/>
          <w:lang w:val="en-US" w:eastAsia="zh-CN"/>
        </w:rPr>
      </w:pPr>
    </w:p>
    <w:p w14:paraId="253BA540">
      <w:pPr>
        <w:pStyle w:val="2"/>
        <w:tabs>
          <w:tab w:val="left" w:pos="3402"/>
        </w:tabs>
        <w:snapToGrid w:val="0"/>
        <w:spacing w:line="360" w:lineRule="auto"/>
        <w:jc w:val="both"/>
        <w:rPr>
          <w:rFonts w:ascii="Times New Roman" w:hAnsi="Times New Roman" w:cs="Times New Roman"/>
        </w:rPr>
      </w:pPr>
      <w:r>
        <w:rPr>
          <w:rFonts w:hint="eastAsia" w:ascii="Times New Roman" w:hAnsi="Times New Roman" w:eastAsia="黑体" w:cs="Times New Roman"/>
          <w:lang w:val="en-US" w:eastAsia="zh-CN"/>
        </w:rPr>
        <w:t>二</w:t>
      </w:r>
      <w:r>
        <w:rPr>
          <w:rFonts w:ascii="Times New Roman" w:hAnsi="Times New Roman" w:eastAsia="黑体" w:cs="Times New Roman"/>
        </w:rPr>
        <w:t>、一定物质的量浓度溶液的配制</w:t>
      </w:r>
    </w:p>
    <w:p w14:paraId="4B86C72B">
      <w:pPr>
        <w:pStyle w:val="2"/>
        <w:tabs>
          <w:tab w:val="left" w:pos="3402"/>
        </w:tabs>
        <w:snapToGrid w:val="0"/>
        <w:spacing w:line="360" w:lineRule="auto"/>
        <w:rPr>
          <w:rFonts w:ascii="Times New Roman" w:hAnsi="Times New Roman" w:cs="Times New Roman"/>
        </w:rPr>
      </w:pPr>
      <w:r>
        <w:rPr>
          <w:rFonts w:ascii="Times New Roman" w:hAnsi="Times New Roman" w:eastAsia="黑体" w:cs="Times New Roman"/>
        </w:rPr>
        <w:t>1</w:t>
      </w:r>
      <w:r>
        <w:rPr>
          <w:rFonts w:ascii="Times New Roman" w:hAnsi="Times New Roman" w:cs="Times New Roman"/>
        </w:rPr>
        <w:t>．</w:t>
      </w:r>
      <w:r>
        <w:rPr>
          <w:rFonts w:ascii="Times New Roman" w:hAnsi="Times New Roman" w:eastAsia="黑体" w:cs="Times New Roman"/>
        </w:rPr>
        <w:t>主要仪器</w:t>
      </w:r>
    </w:p>
    <w:p w14:paraId="55F4D469">
      <w:pPr>
        <w:pStyle w:val="2"/>
        <w:tabs>
          <w:tab w:val="left" w:pos="3402"/>
        </w:tabs>
        <w:snapToGrid w:val="0"/>
        <w:spacing w:line="360" w:lineRule="auto"/>
        <w:rPr>
          <w:rFonts w:ascii="Times New Roman" w:hAnsi="Times New Roman" w:cs="Times New Roman"/>
        </w:rPr>
      </w:pPr>
      <w:r>
        <w:rPr>
          <w:rFonts w:ascii="Times New Roman" w:hAnsi="Times New Roman" w:cs="Times New Roman"/>
        </w:rPr>
        <w:t>托盘天平(或分析天平)、烧杯、</w:t>
      </w:r>
      <w:r>
        <w:rPr>
          <w:rFonts w:ascii="Times New Roman" w:hAnsi="Times New Roman" w:cs="Times New Roman"/>
          <w:color w:val="0000FF"/>
          <w:u w:val="single"/>
        </w:rPr>
        <w:t>玻璃棒</w:t>
      </w:r>
      <w:r>
        <w:rPr>
          <w:rFonts w:ascii="Times New Roman" w:hAnsi="Times New Roman" w:cs="Times New Roman"/>
        </w:rPr>
        <w:t>、</w:t>
      </w:r>
      <w:r>
        <w:rPr>
          <w:rFonts w:ascii="Times New Roman" w:hAnsi="Times New Roman" w:cs="Times New Roman"/>
          <w:color w:val="0000FF"/>
          <w:u w:val="single"/>
        </w:rPr>
        <w:t>容量瓶</w:t>
      </w:r>
      <w:r>
        <w:rPr>
          <w:rFonts w:ascii="Times New Roman" w:hAnsi="Times New Roman" w:cs="Times New Roman"/>
        </w:rPr>
        <w:t>、</w:t>
      </w:r>
      <w:r>
        <w:rPr>
          <w:rFonts w:ascii="Times New Roman" w:hAnsi="Times New Roman" w:cs="Times New Roman"/>
          <w:color w:val="0000FF"/>
          <w:u w:val="single"/>
        </w:rPr>
        <w:t>胶头滴管</w:t>
      </w:r>
      <w:r>
        <w:rPr>
          <w:rFonts w:ascii="Times New Roman" w:hAnsi="Times New Roman" w:cs="Times New Roman"/>
        </w:rPr>
        <w:t>、量筒。</w:t>
      </w:r>
    </w:p>
    <w:p w14:paraId="60543725">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容量瓶</w:t>
      </w:r>
    </w:p>
    <w:p w14:paraId="5FB1BAF9">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"E:\\司瑞晴\\2023\\步步高\\同步\\步步高　化学　必修第一册(人教版)\\2-100.TIF"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必修第一册(人教版)\\2-100.TIF"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必修第一册(人教版)\\2-100.TIF"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必修第一册(人教版)\\word\\2-100.TIF"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必修第一册\\教师WORD(司瑞晴做)\\第二章　海水中的重要元素——钠和氯\\2-100.TIF"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"\\\\徐圣哲\\e\\2023\\同步\\化学 人教通用 必修第一册\\教师WORD(司瑞晴做)\\第二章　海水中的重要元素——钠和氯\\2-100.TIF"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895600" cy="1219200"/>
            <wp:effectExtent l="0" t="0" r="0" b="0"/>
            <wp:docPr id="61"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0"/>
                    <pic:cNvPicPr>
                      <a:picLocks noChangeAspect="1"/>
                    </pic:cNvPicPr>
                  </pic:nvPicPr>
                  <pic:blipFill>
                    <a:blip r:embed="rId10" r:link="rId11"/>
                    <a:stretch>
                      <a:fillRect/>
                    </a:stretch>
                  </pic:blipFill>
                  <pic:spPr>
                    <a:xfrm>
                      <a:off x="0" y="0"/>
                      <a:ext cx="2895600" cy="121920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53535FB7">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"E:\\司瑞晴\\2023\\步步高\\同步\\步步高　化学　必修第一册(人教版)\\2-101.TIF"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必修第一册(人教版)\\2-101.TIF"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必修第一册(人教版)\\2-101.TIF"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必修第一册(人教版)\\word\\2-101.TIF"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必修第一册\\教师WORD(司瑞晴做)\\第二章　海水中的重要元素——钠和氯\\2-101.TIF"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6FA8460">
      <w:pPr>
        <w:pStyle w:val="2"/>
        <w:tabs>
          <w:tab w:val="left" w:pos="3402"/>
        </w:tabs>
        <w:snapToGrid w:val="0"/>
        <w:spacing w:line="360" w:lineRule="auto"/>
        <w:jc w:val="both"/>
        <w:rPr>
          <w:rFonts w:ascii="Times New Roman" w:hAnsi="Times New Roman" w:cs="Times New Roman"/>
        </w:rPr>
      </w:pPr>
      <w:r>
        <w:rPr>
          <w:rFonts w:hint="eastAsia" w:ascii="Times New Roman" w:hAnsi="Times New Roman" w:eastAsia="黑体" w:cs="Times New Roman"/>
          <w:lang w:val="en-US" w:eastAsia="zh-CN"/>
        </w:rPr>
        <w:t>三</w:t>
      </w:r>
      <w:r>
        <w:rPr>
          <w:rFonts w:ascii="Times New Roman" w:hAnsi="Times New Roman" w:eastAsia="黑体" w:cs="Times New Roman"/>
        </w:rPr>
        <w:t>、配制一定物质的量浓度的溶液的误差分析</w:t>
      </w:r>
    </w:p>
    <w:p w14:paraId="4AD282BA">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误差分析的原理依据</w:t>
      </w:r>
    </w:p>
    <w:p w14:paraId="26EC9547">
      <w:pPr>
        <w:pStyle w:val="2"/>
        <w:tabs>
          <w:tab w:val="left" w:pos="3402"/>
        </w:tabs>
        <w:snapToGrid w:val="0"/>
        <w:spacing w:line="360" w:lineRule="auto"/>
        <w:rPr>
          <w:rFonts w:ascii="Times New Roman" w:hAnsi="Times New Roman" w:cs="Times New Roman"/>
        </w:rPr>
      </w:pPr>
      <w:r>
        <w:rPr>
          <w:rFonts w:ascii="Times New Roman" w:hAnsi="Times New Roman" w:cs="Times New Roman"/>
        </w:rPr>
        <w:t>根据</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n</w:instrText>
      </w:r>
      <w:r>
        <w:rPr>
          <w:rFonts w:ascii="Times New Roman" w:hAnsi="Times New Roman" w:cs="Times New Roman"/>
          <w:vertAlign w:val="subscript"/>
        </w:rPr>
        <w:instrText xml:space="preserve">B</w:instrText>
      </w:r>
      <w:r>
        <w:rPr>
          <w:rFonts w:ascii="Times New Roman" w:hAnsi="Times New Roman" w:cs="Times New Roman"/>
        </w:rPr>
        <w:instrText xml:space="preserve">,</w:instrText>
      </w:r>
      <w:r>
        <w:rPr>
          <w:rFonts w:ascii="Times New Roman" w:hAnsi="Times New Roman" w:cs="Times New Roman"/>
          <w:i/>
        </w:rPr>
        <w:instrText xml:space="preserve">V</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m</w:instrText>
      </w:r>
      <w:r>
        <w:rPr>
          <w:rFonts w:ascii="Times New Roman" w:hAnsi="Times New Roman" w:cs="Times New Roman"/>
          <w:vertAlign w:val="subscript"/>
        </w:rPr>
        <w:instrText xml:space="preserve">B</w:instrText>
      </w:r>
      <w:r>
        <w:rPr>
          <w:rFonts w:ascii="Times New Roman" w:hAnsi="Times New Roman" w:cs="Times New Roman"/>
        </w:rPr>
        <w:instrText xml:space="preserve">,</w:instrText>
      </w:r>
      <w:r>
        <w:rPr>
          <w:rFonts w:ascii="Times New Roman" w:hAnsi="Times New Roman" w:cs="Times New Roman"/>
          <w:i/>
        </w:rPr>
        <w:instrText xml:space="preserve">M</w:instrText>
      </w:r>
      <w:r>
        <w:rPr>
          <w:rFonts w:ascii="Times New Roman" w:hAnsi="Times New Roman" w:cs="Times New Roman"/>
        </w:rPr>
        <w:instrText xml:space="preserve">·</w:instrText>
      </w:r>
      <w:r>
        <w:rPr>
          <w:rFonts w:ascii="Times New Roman" w:hAnsi="Times New Roman" w:cs="Times New Roman"/>
          <w:i/>
        </w:rPr>
        <w:instrText xml:space="preserve">V</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判断。其他条件不变时：</w:t>
      </w:r>
    </w:p>
    <w:p w14:paraId="1695822D">
      <w:pPr>
        <w:pStyle w:val="2"/>
        <w:tabs>
          <w:tab w:val="left" w:pos="3402"/>
        </w:tabs>
        <w:snapToGrid w:val="0"/>
        <w:spacing w:line="360" w:lineRule="auto"/>
        <w:rPr>
          <w:rFonts w:ascii="Times New Roman" w:hAnsi="Times New Roman" w:cs="Times New Roman"/>
        </w:rPr>
      </w:pPr>
      <w:r>
        <w:rPr>
          <w:rFonts w:ascii="Times New Roman" w:hAnsi="Times New Roman" w:cs="Times New Roman"/>
        </w:rPr>
        <w:t>(1)使</w:t>
      </w:r>
      <w:r>
        <w:rPr>
          <w:rFonts w:ascii="Times New Roman" w:hAnsi="Times New Roman" w:cs="Times New Roman"/>
          <w:i/>
        </w:rPr>
        <w:t>n</w:t>
      </w:r>
      <w:r>
        <w:rPr>
          <w:rFonts w:ascii="Times New Roman" w:hAnsi="Times New Roman" w:cs="Times New Roman"/>
          <w:vertAlign w:val="subscript"/>
        </w:rPr>
        <w:t>B</w:t>
      </w:r>
      <w:r>
        <w:rPr>
          <w:rFonts w:ascii="Times New Roman" w:hAnsi="Times New Roman" w:cs="Times New Roman"/>
        </w:rPr>
        <w:t>、</w:t>
      </w:r>
      <w:r>
        <w:rPr>
          <w:rFonts w:ascii="Times New Roman" w:hAnsi="Times New Roman" w:cs="Times New Roman"/>
          <w:i/>
        </w:rPr>
        <w:t>m</w:t>
      </w:r>
      <w:r>
        <w:rPr>
          <w:rFonts w:ascii="Times New Roman" w:hAnsi="Times New Roman" w:cs="Times New Roman"/>
          <w:vertAlign w:val="subscript"/>
        </w:rPr>
        <w:t>B</w:t>
      </w:r>
      <w:r>
        <w:rPr>
          <w:rFonts w:ascii="Times New Roman" w:hAnsi="Times New Roman" w:cs="Times New Roman"/>
        </w:rPr>
        <w:t>增大(或减小)的因素，导致</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color w:val="0000FF"/>
          <w:u w:val="single"/>
        </w:rPr>
        <w:t>偏大</w:t>
      </w:r>
      <w:r>
        <w:rPr>
          <w:rFonts w:ascii="Times New Roman" w:hAnsi="Times New Roman" w:cs="Times New Roman"/>
        </w:rPr>
        <w:t>(或</w:t>
      </w:r>
      <w:r>
        <w:rPr>
          <w:rFonts w:ascii="Times New Roman" w:hAnsi="Times New Roman" w:cs="Times New Roman"/>
          <w:color w:val="0000FF"/>
          <w:u w:val="single"/>
        </w:rPr>
        <w:t>偏小</w:t>
      </w:r>
      <w:r>
        <w:rPr>
          <w:rFonts w:ascii="Times New Roman" w:hAnsi="Times New Roman" w:cs="Times New Roman"/>
        </w:rPr>
        <w:t>)。</w:t>
      </w:r>
    </w:p>
    <w:p w14:paraId="3BA63889">
      <w:pPr>
        <w:pStyle w:val="2"/>
        <w:tabs>
          <w:tab w:val="left" w:pos="3402"/>
        </w:tabs>
        <w:snapToGrid w:val="0"/>
        <w:spacing w:line="360" w:lineRule="auto"/>
        <w:rPr>
          <w:rFonts w:ascii="Times New Roman" w:hAnsi="Times New Roman" w:cs="Times New Roman"/>
        </w:rPr>
      </w:pPr>
      <w:r>
        <w:rPr>
          <w:rFonts w:ascii="Times New Roman" w:hAnsi="Times New Roman" w:cs="Times New Roman"/>
        </w:rPr>
        <w:t>(2)使</w:t>
      </w:r>
      <w:r>
        <w:rPr>
          <w:rFonts w:ascii="Times New Roman" w:hAnsi="Times New Roman" w:cs="Times New Roman"/>
          <w:i/>
        </w:rPr>
        <w:t>V</w:t>
      </w:r>
      <w:r>
        <w:rPr>
          <w:rFonts w:ascii="Times New Roman" w:hAnsi="Times New Roman" w:cs="Times New Roman"/>
        </w:rPr>
        <w:t>增大(或减小)的因素，导致</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color w:val="0000FF"/>
          <w:u w:val="single"/>
        </w:rPr>
        <w:t>偏小</w:t>
      </w:r>
      <w:r>
        <w:rPr>
          <w:rFonts w:ascii="Times New Roman" w:hAnsi="Times New Roman" w:cs="Times New Roman"/>
        </w:rPr>
        <w:t>(或</w:t>
      </w:r>
      <w:r>
        <w:rPr>
          <w:rFonts w:ascii="Times New Roman" w:hAnsi="Times New Roman" w:cs="Times New Roman"/>
          <w:color w:val="0000FF"/>
          <w:u w:val="single"/>
        </w:rPr>
        <w:t>偏大</w:t>
      </w:r>
      <w:r>
        <w:rPr>
          <w:rFonts w:ascii="Times New Roman" w:hAnsi="Times New Roman" w:cs="Times New Roman"/>
        </w:rPr>
        <w:t>)。</w:t>
      </w:r>
    </w:p>
    <w:p w14:paraId="399D38C1">
      <w:pPr>
        <w:pStyle w:val="2"/>
        <w:tabs>
          <w:tab w:val="left" w:pos="3402"/>
        </w:tabs>
        <w:snapToGrid w:val="0"/>
        <w:spacing w:line="360" w:lineRule="auto"/>
        <w:rPr>
          <w:rFonts w:ascii="Times New Roman" w:hAnsi="Times New Roman" w:eastAsia="黑体" w:cs="Times New Roman"/>
        </w:rPr>
      </w:pPr>
      <w:r>
        <w:rPr>
          <w:rFonts w:ascii="Times New Roman" w:hAnsi="Times New Roman" w:eastAsia="黑体" w:cs="Times New Roman"/>
        </w:rPr>
        <w:t>2</w:t>
      </w:r>
      <w:r>
        <w:rPr>
          <w:rFonts w:ascii="Times New Roman" w:hAnsi="Times New Roman" w:cs="Times New Roman"/>
        </w:rPr>
        <w:t>．</w:t>
      </w:r>
      <w:r>
        <w:rPr>
          <w:rFonts w:ascii="Times New Roman" w:hAnsi="Times New Roman" w:eastAsia="黑体" w:cs="Times New Roman"/>
        </w:rPr>
        <w:t>配制100 mL 1.00 mol·L</w:t>
      </w:r>
      <w:r>
        <w:rPr>
          <w:rFonts w:ascii="Times New Roman" w:hAnsi="Times New Roman" w:eastAsia="黑体" w:cs="Times New Roman"/>
          <w:vertAlign w:val="superscript"/>
        </w:rPr>
        <w:t>－1</w:t>
      </w:r>
      <w:r>
        <w:rPr>
          <w:rFonts w:ascii="Times New Roman" w:hAnsi="Times New Roman" w:eastAsia="黑体" w:cs="Times New Roman"/>
        </w:rPr>
        <w:t>的氯化钠溶液常出现的误差</w:t>
      </w:r>
    </w:p>
    <w:tbl>
      <w:tblPr>
        <w:tblStyle w:val="5"/>
        <w:tblW w:w="62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2113"/>
        <w:gridCol w:w="1003"/>
        <w:gridCol w:w="816"/>
        <w:gridCol w:w="1453"/>
      </w:tblGrid>
      <w:tr w14:paraId="21930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3020" w:type="dxa"/>
            <w:gridSpan w:val="2"/>
            <w:vMerge w:val="restart"/>
            <w:shd w:val="clear" w:color="auto" w:fill="auto"/>
            <w:vAlign w:val="center"/>
          </w:tcPr>
          <w:p w14:paraId="5B7CCC50">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能引起误差的操作</w:t>
            </w:r>
          </w:p>
        </w:tc>
        <w:tc>
          <w:tcPr>
            <w:tcW w:w="1819" w:type="dxa"/>
            <w:gridSpan w:val="2"/>
            <w:shd w:val="clear" w:color="auto" w:fill="auto"/>
            <w:vAlign w:val="center"/>
          </w:tcPr>
          <w:p w14:paraId="58AF2D6F">
            <w:pPr>
              <w:pStyle w:val="2"/>
              <w:tabs>
                <w:tab w:val="left" w:pos="3402"/>
              </w:tabs>
              <w:snapToGrid w:val="0"/>
              <w:spacing w:line="360" w:lineRule="auto"/>
              <w:jc w:val="center"/>
              <w:rPr>
                <w:rFonts w:hAnsi="宋体" w:cs="宋体"/>
              </w:rPr>
            </w:pPr>
            <w:r>
              <w:rPr>
                <w:rFonts w:ascii="Times New Roman" w:hAnsi="Times New Roman" w:cs="Times New Roman"/>
              </w:rPr>
              <w:t>因变量</w:t>
            </w:r>
          </w:p>
        </w:tc>
        <w:tc>
          <w:tcPr>
            <w:tcW w:w="1453" w:type="dxa"/>
            <w:vMerge w:val="restart"/>
            <w:shd w:val="clear" w:color="auto" w:fill="auto"/>
            <w:vAlign w:val="center"/>
          </w:tcPr>
          <w:p w14:paraId="17B1850E">
            <w:pPr>
              <w:pStyle w:val="2"/>
              <w:tabs>
                <w:tab w:val="left" w:pos="3402"/>
              </w:tabs>
              <w:snapToGrid w:val="0"/>
              <w:spacing w:line="360" w:lineRule="auto"/>
              <w:jc w:val="center"/>
              <w:rPr>
                <w:rFonts w:hAnsi="宋体" w:cs="宋体"/>
              </w:rPr>
            </w:pPr>
            <w:r>
              <w:rPr>
                <w:rFonts w:ascii="Times New Roman" w:hAnsi="Times New Roman" w:cs="Times New Roman"/>
                <w:i/>
              </w:rPr>
              <w:t>c</w:t>
            </w:r>
          </w:p>
        </w:tc>
      </w:tr>
      <w:tr w14:paraId="7EEC2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3020" w:type="dxa"/>
            <w:gridSpan w:val="2"/>
            <w:vMerge w:val="continue"/>
            <w:shd w:val="clear" w:color="auto" w:fill="auto"/>
            <w:vAlign w:val="center"/>
          </w:tcPr>
          <w:p w14:paraId="1796E332">
            <w:pPr>
              <w:pStyle w:val="2"/>
              <w:tabs>
                <w:tab w:val="left" w:pos="3402"/>
              </w:tabs>
              <w:snapToGrid w:val="0"/>
              <w:spacing w:line="360" w:lineRule="auto"/>
              <w:jc w:val="center"/>
              <w:rPr>
                <w:rFonts w:ascii="Times New Roman" w:hAnsi="Times New Roman" w:cs="Times New Roman"/>
              </w:rPr>
            </w:pPr>
          </w:p>
        </w:tc>
        <w:tc>
          <w:tcPr>
            <w:tcW w:w="1003" w:type="dxa"/>
            <w:shd w:val="clear" w:color="auto" w:fill="auto"/>
            <w:vAlign w:val="center"/>
          </w:tcPr>
          <w:p w14:paraId="19F98496">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i/>
              </w:rPr>
              <w:t>n</w:t>
            </w:r>
          </w:p>
        </w:tc>
        <w:tc>
          <w:tcPr>
            <w:tcW w:w="816" w:type="dxa"/>
            <w:shd w:val="clear" w:color="auto" w:fill="auto"/>
            <w:vAlign w:val="center"/>
          </w:tcPr>
          <w:p w14:paraId="44998EF7">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i/>
              </w:rPr>
              <w:t>V</w:t>
            </w:r>
          </w:p>
        </w:tc>
        <w:tc>
          <w:tcPr>
            <w:tcW w:w="1453" w:type="dxa"/>
            <w:vMerge w:val="continue"/>
            <w:shd w:val="clear" w:color="auto" w:fill="auto"/>
            <w:vAlign w:val="center"/>
          </w:tcPr>
          <w:p w14:paraId="6B75B195">
            <w:pPr>
              <w:pStyle w:val="2"/>
              <w:tabs>
                <w:tab w:val="left" w:pos="3402"/>
              </w:tabs>
              <w:snapToGrid w:val="0"/>
              <w:spacing w:line="360" w:lineRule="auto"/>
              <w:jc w:val="center"/>
              <w:rPr>
                <w:rFonts w:hAnsi="宋体" w:cs="宋体"/>
              </w:rPr>
            </w:pPr>
          </w:p>
        </w:tc>
      </w:tr>
      <w:tr w14:paraId="289DF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restart"/>
            <w:shd w:val="clear" w:color="auto" w:fill="auto"/>
            <w:vAlign w:val="center"/>
          </w:tcPr>
          <w:p w14:paraId="519D132F">
            <w:pPr>
              <w:pStyle w:val="2"/>
              <w:tabs>
                <w:tab w:val="left" w:pos="3402"/>
              </w:tabs>
              <w:snapToGrid w:val="0"/>
              <w:spacing w:line="360" w:lineRule="auto"/>
              <w:jc w:val="center"/>
              <w:rPr>
                <w:rFonts w:hAnsi="宋体" w:cs="宋体"/>
              </w:rPr>
            </w:pPr>
            <w:r>
              <w:rPr>
                <w:rFonts w:ascii="Times New Roman" w:hAnsi="Times New Roman" w:cs="Times New Roman"/>
              </w:rPr>
              <w:t>称量</w:t>
            </w:r>
          </w:p>
        </w:tc>
        <w:tc>
          <w:tcPr>
            <w:tcW w:w="2113" w:type="dxa"/>
            <w:shd w:val="clear" w:color="auto" w:fill="auto"/>
            <w:vAlign w:val="center"/>
          </w:tcPr>
          <w:p w14:paraId="4E8C2CF5">
            <w:pPr>
              <w:pStyle w:val="2"/>
              <w:tabs>
                <w:tab w:val="left" w:pos="3402"/>
              </w:tabs>
              <w:snapToGrid w:val="0"/>
              <w:spacing w:line="360" w:lineRule="auto"/>
              <w:jc w:val="left"/>
              <w:rPr>
                <w:rFonts w:hAnsi="宋体" w:cs="宋体"/>
              </w:rPr>
            </w:pPr>
            <w:r>
              <w:rPr>
                <w:rFonts w:hAnsi="宋体" w:cs="Times New Roman"/>
              </w:rPr>
              <w:t>①</w:t>
            </w:r>
            <w:r>
              <w:rPr>
                <w:rFonts w:ascii="Times New Roman" w:hAnsi="Times New Roman" w:cs="Times New Roman"/>
              </w:rPr>
              <w:t>少量氯化钠粘在称量纸上</w:t>
            </w:r>
          </w:p>
        </w:tc>
        <w:tc>
          <w:tcPr>
            <w:tcW w:w="1003" w:type="dxa"/>
            <w:shd w:val="clear" w:color="auto" w:fill="auto"/>
            <w:vAlign w:val="center"/>
          </w:tcPr>
          <w:p w14:paraId="457C897E">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偏小</w:t>
            </w:r>
          </w:p>
        </w:tc>
        <w:tc>
          <w:tcPr>
            <w:tcW w:w="816" w:type="dxa"/>
            <w:shd w:val="clear" w:color="auto" w:fill="auto"/>
            <w:vAlign w:val="center"/>
          </w:tcPr>
          <w:p w14:paraId="36FEF14B">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不变</w:t>
            </w:r>
          </w:p>
        </w:tc>
        <w:tc>
          <w:tcPr>
            <w:tcW w:w="1453" w:type="dxa"/>
            <w:shd w:val="clear" w:color="auto" w:fill="auto"/>
            <w:vAlign w:val="center"/>
          </w:tcPr>
          <w:p w14:paraId="1EF534FA">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偏小</w:t>
            </w:r>
          </w:p>
        </w:tc>
      </w:tr>
      <w:tr w14:paraId="3F80B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continue"/>
            <w:shd w:val="clear" w:color="auto" w:fill="auto"/>
            <w:vAlign w:val="center"/>
          </w:tcPr>
          <w:p w14:paraId="0206C39B">
            <w:pPr>
              <w:pStyle w:val="2"/>
              <w:tabs>
                <w:tab w:val="left" w:pos="3402"/>
              </w:tabs>
              <w:snapToGrid w:val="0"/>
              <w:spacing w:line="360" w:lineRule="auto"/>
              <w:jc w:val="center"/>
              <w:rPr>
                <w:rFonts w:ascii="Times New Roman" w:hAnsi="Times New Roman" w:cs="Times New Roman"/>
              </w:rPr>
            </w:pPr>
          </w:p>
        </w:tc>
        <w:tc>
          <w:tcPr>
            <w:tcW w:w="2113" w:type="dxa"/>
            <w:shd w:val="clear" w:color="auto" w:fill="auto"/>
            <w:vAlign w:val="center"/>
          </w:tcPr>
          <w:p w14:paraId="68C400AE">
            <w:pPr>
              <w:pStyle w:val="2"/>
              <w:tabs>
                <w:tab w:val="left" w:pos="3402"/>
              </w:tabs>
              <w:snapToGrid w:val="0"/>
              <w:spacing w:line="360" w:lineRule="auto"/>
              <w:jc w:val="left"/>
              <w:rPr>
                <w:rFonts w:ascii="Times New Roman" w:hAnsi="Times New Roman" w:cs="Times New Roman"/>
              </w:rPr>
            </w:pPr>
            <w:r>
              <w:rPr>
                <w:rFonts w:hAnsi="宋体" w:cs="Times New Roman"/>
              </w:rPr>
              <w:t>②</w:t>
            </w:r>
            <w:r>
              <w:rPr>
                <w:rFonts w:ascii="Times New Roman" w:hAnsi="Times New Roman" w:cs="Times New Roman"/>
              </w:rPr>
              <w:t>使用游码，且药品砝码位置颠倒</w:t>
            </w:r>
          </w:p>
        </w:tc>
        <w:tc>
          <w:tcPr>
            <w:tcW w:w="1003" w:type="dxa"/>
            <w:shd w:val="clear" w:color="auto" w:fill="auto"/>
            <w:vAlign w:val="center"/>
          </w:tcPr>
          <w:p w14:paraId="2F8D1A1E">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偏小</w:t>
            </w:r>
          </w:p>
        </w:tc>
        <w:tc>
          <w:tcPr>
            <w:tcW w:w="816" w:type="dxa"/>
            <w:shd w:val="clear" w:color="auto" w:fill="auto"/>
            <w:vAlign w:val="center"/>
          </w:tcPr>
          <w:p w14:paraId="274EEB75">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不变</w:t>
            </w:r>
          </w:p>
        </w:tc>
        <w:tc>
          <w:tcPr>
            <w:tcW w:w="1453" w:type="dxa"/>
            <w:shd w:val="clear" w:color="auto" w:fill="auto"/>
            <w:vAlign w:val="center"/>
          </w:tcPr>
          <w:p w14:paraId="2F0F7EAC">
            <w:pPr>
              <w:pStyle w:val="2"/>
              <w:tabs>
                <w:tab w:val="left" w:pos="3402"/>
              </w:tabs>
              <w:snapToGrid w:val="0"/>
              <w:spacing w:line="360" w:lineRule="auto"/>
              <w:jc w:val="center"/>
              <w:rPr>
                <w:rFonts w:hAnsi="宋体" w:cs="宋体"/>
                <w:color w:val="0000FF"/>
              </w:rPr>
            </w:pPr>
            <w:r>
              <w:rPr>
                <w:rFonts w:ascii="Times New Roman" w:hAnsi="Times New Roman" w:cs="Times New Roman"/>
                <w:color w:val="0000FF"/>
                <w:u w:val="single"/>
              </w:rPr>
              <w:t>偏小</w:t>
            </w:r>
          </w:p>
        </w:tc>
      </w:tr>
      <w:tr w14:paraId="05CC9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restart"/>
            <w:shd w:val="clear" w:color="auto" w:fill="auto"/>
            <w:vAlign w:val="center"/>
          </w:tcPr>
          <w:p w14:paraId="06A13F99">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移液</w:t>
            </w:r>
          </w:p>
        </w:tc>
        <w:tc>
          <w:tcPr>
            <w:tcW w:w="2113" w:type="dxa"/>
            <w:shd w:val="clear" w:color="auto" w:fill="auto"/>
            <w:vAlign w:val="center"/>
          </w:tcPr>
          <w:p w14:paraId="3D5B1116">
            <w:pPr>
              <w:pStyle w:val="2"/>
              <w:tabs>
                <w:tab w:val="left" w:pos="3402"/>
              </w:tabs>
              <w:snapToGrid w:val="0"/>
              <w:spacing w:line="360" w:lineRule="auto"/>
              <w:jc w:val="center"/>
              <w:rPr>
                <w:rFonts w:ascii="Times New Roman" w:hAnsi="Times New Roman" w:cs="Times New Roman"/>
              </w:rPr>
            </w:pPr>
            <w:r>
              <w:rPr>
                <w:rFonts w:hAnsi="宋体" w:cs="Times New Roman"/>
              </w:rPr>
              <w:t>③</w:t>
            </w:r>
            <w:r>
              <w:rPr>
                <w:rFonts w:ascii="Times New Roman" w:hAnsi="Times New Roman" w:cs="Times New Roman"/>
              </w:rPr>
              <w:t>有少量液体溅出</w:t>
            </w:r>
          </w:p>
        </w:tc>
        <w:tc>
          <w:tcPr>
            <w:tcW w:w="1003" w:type="dxa"/>
            <w:shd w:val="clear" w:color="auto" w:fill="auto"/>
            <w:vAlign w:val="center"/>
          </w:tcPr>
          <w:p w14:paraId="66046C1D">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偏小</w:t>
            </w:r>
          </w:p>
        </w:tc>
        <w:tc>
          <w:tcPr>
            <w:tcW w:w="816" w:type="dxa"/>
            <w:shd w:val="clear" w:color="auto" w:fill="auto"/>
            <w:vAlign w:val="center"/>
          </w:tcPr>
          <w:p w14:paraId="7F1E832E">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不变</w:t>
            </w:r>
          </w:p>
        </w:tc>
        <w:tc>
          <w:tcPr>
            <w:tcW w:w="1453" w:type="dxa"/>
            <w:shd w:val="clear" w:color="auto" w:fill="auto"/>
            <w:vAlign w:val="center"/>
          </w:tcPr>
          <w:p w14:paraId="2A0CC7B6">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偏小</w:t>
            </w:r>
          </w:p>
        </w:tc>
      </w:tr>
      <w:tr w14:paraId="18768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continue"/>
            <w:shd w:val="clear" w:color="auto" w:fill="auto"/>
            <w:vAlign w:val="center"/>
          </w:tcPr>
          <w:p w14:paraId="04C1B4F0">
            <w:pPr>
              <w:pStyle w:val="2"/>
              <w:tabs>
                <w:tab w:val="left" w:pos="3402"/>
              </w:tabs>
              <w:snapToGrid w:val="0"/>
              <w:spacing w:line="360" w:lineRule="auto"/>
              <w:jc w:val="center"/>
              <w:rPr>
                <w:rFonts w:ascii="Times New Roman" w:hAnsi="Times New Roman" w:cs="Times New Roman"/>
              </w:rPr>
            </w:pPr>
          </w:p>
        </w:tc>
        <w:tc>
          <w:tcPr>
            <w:tcW w:w="2113" w:type="dxa"/>
            <w:shd w:val="clear" w:color="auto" w:fill="auto"/>
            <w:vAlign w:val="center"/>
          </w:tcPr>
          <w:p w14:paraId="69B219E3">
            <w:pPr>
              <w:pStyle w:val="2"/>
              <w:tabs>
                <w:tab w:val="left" w:pos="3402"/>
              </w:tabs>
              <w:snapToGrid w:val="0"/>
              <w:spacing w:line="360" w:lineRule="auto"/>
              <w:jc w:val="center"/>
              <w:rPr>
                <w:rFonts w:ascii="Times New Roman" w:hAnsi="Times New Roman" w:cs="Times New Roman"/>
              </w:rPr>
            </w:pPr>
            <w:r>
              <w:rPr>
                <w:rFonts w:hAnsi="宋体" w:cs="Times New Roman"/>
              </w:rPr>
              <w:t>④</w:t>
            </w:r>
            <w:r>
              <w:rPr>
                <w:rFonts w:ascii="Times New Roman" w:hAnsi="Times New Roman" w:cs="Times New Roman"/>
              </w:rPr>
              <w:t>容量瓶内有少量水</w:t>
            </w:r>
          </w:p>
        </w:tc>
        <w:tc>
          <w:tcPr>
            <w:tcW w:w="1003" w:type="dxa"/>
            <w:shd w:val="clear" w:color="auto" w:fill="auto"/>
            <w:vAlign w:val="center"/>
          </w:tcPr>
          <w:p w14:paraId="2F435C5B">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不变</w:t>
            </w:r>
          </w:p>
        </w:tc>
        <w:tc>
          <w:tcPr>
            <w:tcW w:w="816" w:type="dxa"/>
            <w:shd w:val="clear" w:color="auto" w:fill="auto"/>
            <w:vAlign w:val="center"/>
          </w:tcPr>
          <w:p w14:paraId="43EF37A2">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color w:val="0000FF"/>
                <w:u w:val="single"/>
              </w:rPr>
              <w:t>不变</w:t>
            </w:r>
          </w:p>
        </w:tc>
        <w:tc>
          <w:tcPr>
            <w:tcW w:w="1453" w:type="dxa"/>
            <w:shd w:val="clear" w:color="auto" w:fill="auto"/>
            <w:vAlign w:val="center"/>
          </w:tcPr>
          <w:p w14:paraId="4152CC36">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不变</w:t>
            </w:r>
          </w:p>
        </w:tc>
      </w:tr>
      <w:tr w14:paraId="21F26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continue"/>
            <w:shd w:val="clear" w:color="auto" w:fill="auto"/>
            <w:vAlign w:val="center"/>
          </w:tcPr>
          <w:p w14:paraId="5A6CEF69">
            <w:pPr>
              <w:pStyle w:val="2"/>
              <w:tabs>
                <w:tab w:val="left" w:pos="3402"/>
              </w:tabs>
              <w:snapToGrid w:val="0"/>
              <w:spacing w:line="360" w:lineRule="auto"/>
              <w:jc w:val="center"/>
              <w:rPr>
                <w:rFonts w:ascii="Times New Roman" w:hAnsi="Times New Roman" w:cs="Times New Roman"/>
              </w:rPr>
            </w:pPr>
          </w:p>
        </w:tc>
        <w:tc>
          <w:tcPr>
            <w:tcW w:w="2113" w:type="dxa"/>
            <w:shd w:val="clear" w:color="auto" w:fill="auto"/>
            <w:vAlign w:val="center"/>
          </w:tcPr>
          <w:p w14:paraId="0085218B">
            <w:pPr>
              <w:pStyle w:val="2"/>
              <w:tabs>
                <w:tab w:val="left" w:pos="3402"/>
              </w:tabs>
              <w:snapToGrid w:val="0"/>
              <w:spacing w:line="360" w:lineRule="auto"/>
              <w:jc w:val="left"/>
              <w:rPr>
                <w:rFonts w:ascii="Times New Roman" w:hAnsi="Times New Roman" w:cs="Times New Roman"/>
              </w:rPr>
            </w:pPr>
            <w:r>
              <w:rPr>
                <w:rFonts w:hAnsi="宋体" w:cs="Times New Roman"/>
              </w:rPr>
              <w:t>⑤</w:t>
            </w:r>
            <w:r>
              <w:rPr>
                <w:rFonts w:ascii="Times New Roman" w:hAnsi="Times New Roman" w:cs="Times New Roman"/>
              </w:rPr>
              <w:t>未洗涤或洗涤液未注入容量瓶</w:t>
            </w:r>
          </w:p>
        </w:tc>
        <w:tc>
          <w:tcPr>
            <w:tcW w:w="1003" w:type="dxa"/>
            <w:shd w:val="clear" w:color="auto" w:fill="auto"/>
            <w:vAlign w:val="center"/>
          </w:tcPr>
          <w:p w14:paraId="77CAF611">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偏小</w:t>
            </w:r>
          </w:p>
        </w:tc>
        <w:tc>
          <w:tcPr>
            <w:tcW w:w="816" w:type="dxa"/>
            <w:shd w:val="clear" w:color="auto" w:fill="auto"/>
            <w:vAlign w:val="center"/>
          </w:tcPr>
          <w:p w14:paraId="49B40F39">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不变</w:t>
            </w:r>
          </w:p>
        </w:tc>
        <w:tc>
          <w:tcPr>
            <w:tcW w:w="1453" w:type="dxa"/>
            <w:shd w:val="clear" w:color="auto" w:fill="auto"/>
            <w:vAlign w:val="center"/>
          </w:tcPr>
          <w:p w14:paraId="1BA3024C">
            <w:pPr>
              <w:pStyle w:val="2"/>
              <w:tabs>
                <w:tab w:val="left" w:pos="3402"/>
              </w:tabs>
              <w:snapToGrid w:val="0"/>
              <w:spacing w:line="360" w:lineRule="auto"/>
              <w:jc w:val="center"/>
              <w:rPr>
                <w:rFonts w:hAnsi="宋体" w:cs="宋体"/>
                <w:color w:val="0000FF"/>
              </w:rPr>
            </w:pPr>
            <w:r>
              <w:rPr>
                <w:rFonts w:ascii="Times New Roman" w:hAnsi="Times New Roman" w:cs="Times New Roman"/>
                <w:color w:val="0000FF"/>
                <w:u w:val="single"/>
              </w:rPr>
              <w:t>偏小</w:t>
            </w:r>
          </w:p>
        </w:tc>
      </w:tr>
      <w:tr w14:paraId="74CB4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restart"/>
            <w:shd w:val="clear" w:color="auto" w:fill="auto"/>
            <w:vAlign w:val="center"/>
          </w:tcPr>
          <w:p w14:paraId="72E7D086">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定容</w:t>
            </w:r>
          </w:p>
        </w:tc>
        <w:tc>
          <w:tcPr>
            <w:tcW w:w="2113" w:type="dxa"/>
            <w:shd w:val="clear" w:color="auto" w:fill="auto"/>
            <w:vAlign w:val="center"/>
          </w:tcPr>
          <w:p w14:paraId="1E4E8783">
            <w:pPr>
              <w:pStyle w:val="2"/>
              <w:tabs>
                <w:tab w:val="left" w:pos="3402"/>
              </w:tabs>
              <w:snapToGrid w:val="0"/>
              <w:spacing w:line="360" w:lineRule="auto"/>
              <w:jc w:val="left"/>
              <w:rPr>
                <w:rFonts w:ascii="Times New Roman" w:hAnsi="Times New Roman" w:cs="Times New Roman"/>
              </w:rPr>
            </w:pPr>
            <w:r>
              <w:rPr>
                <w:rFonts w:hAnsi="宋体" w:cs="Times New Roman"/>
              </w:rPr>
              <w:t>⑥</w:t>
            </w:r>
            <w:r>
              <w:rPr>
                <w:rFonts w:ascii="Times New Roman" w:hAnsi="Times New Roman" w:cs="Times New Roman"/>
              </w:rPr>
              <w:t>超过刻度线，吸出一部分水</w:t>
            </w:r>
          </w:p>
        </w:tc>
        <w:tc>
          <w:tcPr>
            <w:tcW w:w="1003" w:type="dxa"/>
            <w:shd w:val="clear" w:color="auto" w:fill="auto"/>
            <w:vAlign w:val="center"/>
          </w:tcPr>
          <w:p w14:paraId="23B33F79">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偏小</w:t>
            </w:r>
          </w:p>
        </w:tc>
        <w:tc>
          <w:tcPr>
            <w:tcW w:w="816" w:type="dxa"/>
            <w:shd w:val="clear" w:color="auto" w:fill="auto"/>
            <w:vAlign w:val="center"/>
          </w:tcPr>
          <w:p w14:paraId="15E6C2DA">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不变</w:t>
            </w:r>
          </w:p>
        </w:tc>
        <w:tc>
          <w:tcPr>
            <w:tcW w:w="1453" w:type="dxa"/>
            <w:shd w:val="clear" w:color="auto" w:fill="auto"/>
            <w:vAlign w:val="center"/>
          </w:tcPr>
          <w:p w14:paraId="582163AA">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偏小</w:t>
            </w:r>
          </w:p>
        </w:tc>
      </w:tr>
      <w:tr w14:paraId="2668E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continue"/>
            <w:shd w:val="clear" w:color="auto" w:fill="auto"/>
            <w:vAlign w:val="center"/>
          </w:tcPr>
          <w:p w14:paraId="23C663E1">
            <w:pPr>
              <w:pStyle w:val="2"/>
              <w:tabs>
                <w:tab w:val="left" w:pos="3402"/>
              </w:tabs>
              <w:snapToGrid w:val="0"/>
              <w:spacing w:line="360" w:lineRule="auto"/>
              <w:jc w:val="center"/>
              <w:rPr>
                <w:rFonts w:ascii="Times New Roman" w:hAnsi="Times New Roman" w:cs="Times New Roman"/>
              </w:rPr>
            </w:pPr>
          </w:p>
        </w:tc>
        <w:tc>
          <w:tcPr>
            <w:tcW w:w="2113" w:type="dxa"/>
            <w:shd w:val="clear" w:color="auto" w:fill="auto"/>
            <w:vAlign w:val="center"/>
          </w:tcPr>
          <w:p w14:paraId="5C9519DE">
            <w:pPr>
              <w:pStyle w:val="2"/>
              <w:tabs>
                <w:tab w:val="left" w:pos="3402"/>
              </w:tabs>
              <w:snapToGrid w:val="0"/>
              <w:spacing w:line="360" w:lineRule="auto"/>
              <w:jc w:val="left"/>
              <w:rPr>
                <w:rFonts w:ascii="Times New Roman" w:hAnsi="Times New Roman" w:cs="Times New Roman"/>
              </w:rPr>
            </w:pPr>
            <w:r>
              <w:rPr>
                <w:rFonts w:hAnsi="宋体" w:cs="Times New Roman"/>
              </w:rPr>
              <w:t>⑦</w:t>
            </w:r>
            <w:r>
              <w:rPr>
                <w:rFonts w:ascii="Times New Roman" w:hAnsi="Times New Roman" w:cs="Times New Roman"/>
              </w:rPr>
              <w:t>摇匀后液面下降，补充水</w:t>
            </w:r>
          </w:p>
        </w:tc>
        <w:tc>
          <w:tcPr>
            <w:tcW w:w="1003" w:type="dxa"/>
            <w:shd w:val="clear" w:color="auto" w:fill="auto"/>
            <w:vAlign w:val="center"/>
          </w:tcPr>
          <w:p w14:paraId="2ED4B159">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不变</w:t>
            </w:r>
          </w:p>
        </w:tc>
        <w:tc>
          <w:tcPr>
            <w:tcW w:w="816" w:type="dxa"/>
            <w:shd w:val="clear" w:color="auto" w:fill="auto"/>
            <w:vAlign w:val="center"/>
          </w:tcPr>
          <w:p w14:paraId="36FAB2CE">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偏大</w:t>
            </w:r>
          </w:p>
        </w:tc>
        <w:tc>
          <w:tcPr>
            <w:tcW w:w="1453" w:type="dxa"/>
            <w:shd w:val="clear" w:color="auto" w:fill="auto"/>
            <w:vAlign w:val="center"/>
          </w:tcPr>
          <w:p w14:paraId="37E2B6DD">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偏小</w:t>
            </w:r>
          </w:p>
        </w:tc>
      </w:tr>
    </w:tbl>
    <w:p w14:paraId="300B9117">
      <w:pPr>
        <w:jc w:val="center"/>
        <w:rPr>
          <w:rFonts w:hint="default" w:ascii="Times New Roman" w:hAnsi="Times New Roman" w:eastAsia="宋体" w:cs="Times New Roman"/>
          <w:b/>
          <w:bCs/>
          <w:sz w:val="22"/>
          <w:lang w:val="en-US" w:eastAsia="zh-CN"/>
        </w:rPr>
      </w:pPr>
    </w:p>
    <w:p w14:paraId="69D79909">
      <w:pPr>
        <w:pStyle w:val="2"/>
        <w:tabs>
          <w:tab w:val="left" w:pos="3402"/>
        </w:tabs>
        <w:snapToGrid w:val="0"/>
        <w:spacing w:line="360" w:lineRule="auto"/>
        <w:rPr>
          <w:rFonts w:ascii="Times New Roman" w:hAnsi="Times New Roman" w:cs="Times New Roman"/>
        </w:rPr>
      </w:pPr>
      <w:r>
        <w:rPr>
          <w:rFonts w:ascii="Times New Roman" w:hAnsi="Times New Roman" w:cs="Times New Roman"/>
        </w:rPr>
        <w:t>判断正误</w:t>
      </w:r>
    </w:p>
    <w:p w14:paraId="60C523A1">
      <w:pPr>
        <w:pStyle w:val="2"/>
        <w:tabs>
          <w:tab w:val="left" w:pos="3402"/>
        </w:tabs>
        <w:snapToGrid w:val="0"/>
        <w:spacing w:line="360" w:lineRule="auto"/>
        <w:rPr>
          <w:rFonts w:ascii="Times New Roman" w:hAnsi="Times New Roman" w:cs="Times New Roman"/>
        </w:rPr>
      </w:pPr>
      <w:r>
        <w:rPr>
          <w:rFonts w:ascii="Times New Roman" w:hAnsi="Times New Roman" w:cs="Times New Roman"/>
        </w:rPr>
        <w:t>(1)将58.5 g NaCl投入1 000 mL水中形成的溶液的物质的量浓度为1 mol·L</w:t>
      </w:r>
      <w:r>
        <w:rPr>
          <w:rFonts w:ascii="Times New Roman" w:hAnsi="Times New Roman" w:cs="Times New Roman"/>
          <w:vertAlign w:val="superscript"/>
        </w:rPr>
        <w:t>－1</w:t>
      </w:r>
      <w:r>
        <w:rPr>
          <w:rFonts w:ascii="Times New Roman" w:hAnsi="Times New Roman" w:cs="Times New Roman"/>
        </w:rPr>
        <w:t>(　</w:t>
      </w:r>
      <w:r>
        <w:rPr>
          <w:rFonts w:hAnsi="宋体" w:cs="Times New Roman"/>
          <w:color w:val="0000FF"/>
        </w:rPr>
        <w:t>×</w:t>
      </w:r>
      <w:r>
        <w:rPr>
          <w:rFonts w:ascii="Times New Roman" w:hAnsi="Times New Roman" w:cs="Times New Roman"/>
        </w:rPr>
        <w:t>　)</w:t>
      </w:r>
    </w:p>
    <w:p w14:paraId="71BFDF01">
      <w:pPr>
        <w:pStyle w:val="2"/>
        <w:tabs>
          <w:tab w:val="left" w:pos="3402"/>
        </w:tabs>
        <w:snapToGrid w:val="0"/>
        <w:spacing w:line="360" w:lineRule="auto"/>
        <w:rPr>
          <w:rFonts w:ascii="Times New Roman" w:hAnsi="Times New Roman" w:cs="Times New Roman"/>
        </w:rPr>
      </w:pPr>
      <w:r>
        <w:rPr>
          <w:rFonts w:ascii="Times New Roman" w:hAnsi="Times New Roman" w:cs="Times New Roman"/>
        </w:rPr>
        <w:t>(2)从200 mL 0.1 mol·L</w:t>
      </w:r>
      <w:r>
        <w:rPr>
          <w:rFonts w:ascii="Times New Roman" w:hAnsi="Times New Roman" w:cs="Times New Roman"/>
          <w:vertAlign w:val="superscript"/>
        </w:rPr>
        <w:t>－1</w:t>
      </w:r>
      <w:r>
        <w:rPr>
          <w:rFonts w:ascii="Times New Roman" w:hAnsi="Times New Roman" w:cs="Times New Roman"/>
        </w:rPr>
        <w:t>盐酸中取出50 mL溶液，其物质的量浓度仍为0.1 mol·L</w:t>
      </w:r>
      <w:r>
        <w:rPr>
          <w:rFonts w:ascii="Times New Roman" w:hAnsi="Times New Roman" w:cs="Times New Roman"/>
          <w:vertAlign w:val="superscript"/>
        </w:rPr>
        <w:t>－1</w:t>
      </w:r>
      <w:r>
        <w:rPr>
          <w:rFonts w:ascii="Times New Roman" w:hAnsi="Times New Roman" w:cs="Times New Roman"/>
        </w:rPr>
        <w:t>(　</w:t>
      </w:r>
      <w:r>
        <w:rPr>
          <w:rFonts w:hAnsi="宋体" w:cs="Times New Roman"/>
          <w:color w:val="0000FF"/>
        </w:rPr>
        <w:t>√</w:t>
      </w:r>
      <w:r>
        <w:rPr>
          <w:rFonts w:ascii="Times New Roman" w:hAnsi="Times New Roman" w:cs="Times New Roman"/>
        </w:rPr>
        <w:t>　)</w:t>
      </w:r>
    </w:p>
    <w:p w14:paraId="555A396D">
      <w:pPr>
        <w:pStyle w:val="2"/>
        <w:tabs>
          <w:tab w:val="left" w:pos="3402"/>
        </w:tabs>
        <w:snapToGrid w:val="0"/>
        <w:spacing w:line="360" w:lineRule="auto"/>
        <w:rPr>
          <w:rFonts w:ascii="Times New Roman" w:hAnsi="Times New Roman" w:cs="Times New Roman"/>
        </w:rPr>
      </w:pPr>
      <w:r>
        <w:rPr>
          <w:rFonts w:ascii="Times New Roman" w:hAnsi="Times New Roman" w:cs="Times New Roman"/>
        </w:rPr>
        <w:t>(3)标准状况下，将2.24 L HCl气体溶于1 L水中，得到3.24 L溶液(　</w:t>
      </w:r>
      <w:r>
        <w:rPr>
          <w:rFonts w:hAnsi="宋体" w:cs="Times New Roman"/>
          <w:color w:val="0000FF"/>
        </w:rPr>
        <w:t>×</w:t>
      </w:r>
      <w:r>
        <w:rPr>
          <w:rFonts w:ascii="Times New Roman" w:hAnsi="Times New Roman" w:cs="Times New Roman"/>
        </w:rPr>
        <w:t>　)</w:t>
      </w:r>
    </w:p>
    <w:p w14:paraId="715ED0F3">
      <w:pPr>
        <w:pStyle w:val="2"/>
        <w:tabs>
          <w:tab w:val="left" w:pos="3402"/>
        </w:tabs>
        <w:snapToGrid w:val="0"/>
        <w:spacing w:line="360" w:lineRule="auto"/>
        <w:rPr>
          <w:rFonts w:ascii="Times New Roman" w:hAnsi="Times New Roman" w:cs="Times New Roman"/>
        </w:rPr>
      </w:pPr>
      <w:r>
        <w:rPr>
          <w:rFonts w:ascii="Times New Roman" w:hAnsi="Times New Roman" w:cs="Times New Roman"/>
        </w:rPr>
        <w:t>(4)0.1 mol·L</w:t>
      </w:r>
      <w:r>
        <w:rPr>
          <w:rFonts w:ascii="Times New Roman" w:hAnsi="Times New Roman" w:cs="Times New Roman"/>
          <w:vertAlign w:val="superscript"/>
        </w:rPr>
        <w:t>－1</w:t>
      </w:r>
      <w:r>
        <w:rPr>
          <w:rFonts w:ascii="Times New Roman" w:hAnsi="Times New Roman" w:cs="Times New Roman"/>
        </w:rPr>
        <w:t>的NaCl溶液中含有Na</w:t>
      </w:r>
      <w:r>
        <w:rPr>
          <w:rFonts w:ascii="Times New Roman" w:hAnsi="Times New Roman" w:cs="Times New Roman"/>
          <w:vertAlign w:val="superscript"/>
        </w:rPr>
        <w:t>＋</w:t>
      </w:r>
      <w:r>
        <w:rPr>
          <w:rFonts w:ascii="Times New Roman" w:hAnsi="Times New Roman" w:cs="Times New Roman"/>
        </w:rPr>
        <w:t>的物质的量为0.1 mol(　</w:t>
      </w:r>
      <w:r>
        <w:rPr>
          <w:rFonts w:hAnsi="宋体" w:cs="Times New Roman"/>
          <w:color w:val="0000FF"/>
        </w:rPr>
        <w:t>×</w:t>
      </w:r>
      <w:r>
        <w:rPr>
          <w:rFonts w:ascii="Times New Roman" w:hAnsi="Times New Roman" w:cs="Times New Roman"/>
        </w:rPr>
        <w:t>　)</w:t>
      </w:r>
    </w:p>
    <w:p w14:paraId="69AD8164">
      <w:pPr>
        <w:pStyle w:val="2"/>
        <w:tabs>
          <w:tab w:val="left" w:pos="3402"/>
        </w:tabs>
        <w:snapToGrid w:val="0"/>
        <w:spacing w:line="360" w:lineRule="auto"/>
        <w:rPr>
          <w:rFonts w:ascii="Times New Roman" w:hAnsi="Times New Roman" w:cs="Times New Roman"/>
        </w:rPr>
      </w:pPr>
      <w:r>
        <w:rPr>
          <w:rFonts w:ascii="Times New Roman" w:hAnsi="Times New Roman" w:cs="Times New Roman"/>
        </w:rPr>
        <w:t>(5)将25 g CuSO</w:t>
      </w:r>
      <w:r>
        <w:rPr>
          <w:rFonts w:ascii="Times New Roman" w:hAnsi="Times New Roman" w:cs="Times New Roman"/>
          <w:vertAlign w:val="subscript"/>
        </w:rPr>
        <w:t>4</w:t>
      </w:r>
      <w:r>
        <w:rPr>
          <w:rFonts w:ascii="Times New Roman" w:hAnsi="Times New Roman" w:cs="Times New Roman"/>
        </w:rPr>
        <w:t>·5H</w:t>
      </w:r>
      <w:r>
        <w:rPr>
          <w:rFonts w:ascii="Times New Roman" w:hAnsi="Times New Roman" w:cs="Times New Roman"/>
          <w:vertAlign w:val="subscript"/>
        </w:rPr>
        <w:t>2</w:t>
      </w:r>
      <w:r>
        <w:rPr>
          <w:rFonts w:ascii="Times New Roman" w:hAnsi="Times New Roman" w:cs="Times New Roman"/>
        </w:rPr>
        <w:t>O溶于水配成1 L溶液，所得溶液的物质的量浓度为0.1 mol·L</w:t>
      </w:r>
      <w:r>
        <w:rPr>
          <w:rFonts w:ascii="Times New Roman" w:hAnsi="Times New Roman" w:cs="Times New Roman"/>
          <w:vertAlign w:val="superscript"/>
        </w:rPr>
        <w:t>－1</w:t>
      </w:r>
      <w:r>
        <w:rPr>
          <w:rFonts w:ascii="Times New Roman" w:hAnsi="Times New Roman" w:cs="Times New Roman"/>
        </w:rPr>
        <w:t>(</w:t>
      </w:r>
      <w:r>
        <w:rPr>
          <w:rFonts w:hAnsi="宋体" w:cs="Times New Roman"/>
          <w:color w:val="0000FF"/>
        </w:rPr>
        <w:t>√</w:t>
      </w:r>
      <w:r>
        <w:rPr>
          <w:rFonts w:ascii="Times New Roman" w:hAnsi="Times New Roman" w:cs="Times New Roman"/>
        </w:rPr>
        <w:t>)</w:t>
      </w:r>
    </w:p>
    <w:p w14:paraId="0B709FE0">
      <w:pPr>
        <w:rPr>
          <w:rFonts w:hint="default"/>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 w:name="Book Antiqua">
    <w:panose1 w:val="020406020503050303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7FEA9">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2FC01">
    <w:pPr>
      <w:pStyle w:val="4"/>
      <w:pBdr>
        <w:bottom w:val="single" w:color="auto" w:sz="4" w:space="1"/>
      </w:pBdr>
      <w:jc w:val="right"/>
      <w:rPr>
        <w:rFonts w:hint="eastAsia"/>
      </w:rPr>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35"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必修第一册</w:t>
    </w:r>
    <w:r>
      <w:rPr>
        <w:rFonts w:hint="eastAsia"/>
      </w:rPr>
      <w:t xml:space="preserve"> </w:t>
    </w:r>
    <w:r>
      <w:rPr>
        <w:rFonts w:hint="eastAsia"/>
        <w:lang w:val="en-US" w:eastAsia="zh-CN"/>
      </w:rPr>
      <w:t>LK</w:t>
    </w:r>
    <w:r>
      <w:rPr>
        <w:rFonts w:hint="eastAsia"/>
      </w:rPr>
      <w:t>》使用</w:t>
    </w:r>
    <w:bookmarkEnd w:id="0"/>
  </w:p>
  <w:p w14:paraId="38B3835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FB186E"/>
    <w:rsid w:val="12793873"/>
    <w:rsid w:val="15514B98"/>
    <w:rsid w:val="161B7B46"/>
    <w:rsid w:val="16B0437E"/>
    <w:rsid w:val="22B8169F"/>
    <w:rsid w:val="2419371D"/>
    <w:rsid w:val="26BA6640"/>
    <w:rsid w:val="2D3809AB"/>
    <w:rsid w:val="2DF6381D"/>
    <w:rsid w:val="37475806"/>
    <w:rsid w:val="3C432509"/>
    <w:rsid w:val="3FC266BA"/>
    <w:rsid w:val="43C4245E"/>
    <w:rsid w:val="581344B1"/>
    <w:rsid w:val="589B6B0E"/>
    <w:rsid w:val="5F071742"/>
    <w:rsid w:val="6A712A0B"/>
    <w:rsid w:val="6BA73F43"/>
    <w:rsid w:val="6C0323B9"/>
    <w:rsid w:val="6C525E9D"/>
    <w:rsid w:val="7836058B"/>
    <w:rsid w:val="78D930EC"/>
    <w:rsid w:val="78FB0617"/>
    <w:rsid w:val="7BE65108"/>
    <w:rsid w:val="7C701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正文1"/>
    <w:basedOn w:val="1"/>
    <w:qFormat/>
    <w:uiPriority w:val="0"/>
    <w:rPr>
      <w:sz w:val="21"/>
    </w:rPr>
  </w:style>
</w:styles>
</file>

<file path=word/_rels/document.xml.rels><?xml version="1.0" encoding="UTF-8" standalone="yes"?>
<Relationships xmlns="http://schemas.openxmlformats.org/package/2006/relationships"><Relationship Id="rId9" Type="http://schemas.openxmlformats.org/officeDocument/2006/relationships/image" Target="2-97.TIF" TargetMode="External"/><Relationship Id="rId8" Type="http://schemas.openxmlformats.org/officeDocument/2006/relationships/image" Target="media/image3.png"/><Relationship Id="rId7" Type="http://schemas.openxmlformats.org/officeDocument/2006/relationships/image" Target="2-97A.TIF" TargetMode="Externa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2-100.TIF" TargetMode="External"/><Relationship Id="rId10" Type="http://schemas.openxmlformats.org/officeDocument/2006/relationships/image" Target="media/image4.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786</Words>
  <Characters>950</Characters>
  <Lines>0</Lines>
  <Paragraphs>0</Paragraphs>
  <TotalTime>0</TotalTime>
  <ScaleCrop>false</ScaleCrop>
  <LinksUpToDate>false</LinksUpToDate>
  <CharactersWithSpaces>983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2025-04-21T08:22:00Z</dcterms:created>
  <dc:creator>89425</dc:creator>
  <cp:lastModifiedBy>刘岩</cp:lastModifiedBy>
  <dcterms:modified xsi:type="dcterms:W3CDTF">2025-04-29T07:44:56Z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904927F0C25A4D8DA0875999C15A9B82_13</vt:lpwstr>
  </property>
</Properties>
</file>