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CC9E5C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三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章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铁 金属材料</w:t>
      </w:r>
    </w:p>
    <w:p w14:paraId="78040194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二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节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金属材料</w:t>
      </w:r>
    </w:p>
    <w:p w14:paraId="428CCD73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bookmarkStart w:id="1" w:name="_GoBack"/>
      <w:r>
        <w:rPr>
          <w:rFonts w:hint="eastAsia" w:ascii="Times New Roman" w:hAnsi="Times New Roman" w:eastAsia="宋体" w:cs="Times New Roman"/>
          <w:b/>
          <w:bCs/>
          <w:sz w:val="22"/>
        </w:rPr>
        <w:t>课时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2物质的量在化学方程式计算中的应用</w:t>
      </w:r>
    </w:p>
    <w:bookmarkEnd w:id="1"/>
    <w:p w14:paraId="1A394C6F">
      <w:pPr>
        <w:pStyle w:val="2"/>
        <w:tabs>
          <w:tab w:val="left" w:pos="3402"/>
        </w:tabs>
        <w:snapToGrid w:val="0"/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一、根据化学方程式计算</w:t>
      </w:r>
    </w:p>
    <w:p w14:paraId="03C3B08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以物质的量为中心的转化</w:t>
      </w:r>
    </w:p>
    <w:p w14:paraId="6AF852DE">
      <w:pPr>
        <w:pStyle w:val="2"/>
        <w:tabs>
          <w:tab w:val="left" w:pos="3402"/>
        </w:tabs>
        <w:snapToGrid w:val="0"/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"E:\\司瑞晴\\2023\\步步高\\同步\\步步高　化学　必修第一册(人教版)\\3-49A.TIF"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必修第一册(人教版)\\word\\3-49A.TIF"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必修第一册\\教师WORD(司瑞晴做)\\第三章　铁　金属材料\\3-49A.TIF"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"\\\\徐圣哲\\e\\2023\\同步\\化学 人教通用 必修第一册\\教师WORD(司瑞晴做)\\第三章　铁　金属材料\\3-49A.TIF"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"E:\\2023\\同步\\打包\\2023秋 步步高 化学 人教版 必修第一册（京津辽粤浙渝鄂苏云晋皖黑吉桂贵甘赣豫新青宁蒙藏陕川冀湘）改教材\\教师用书Word版文档\\第三章　铁　金属材料\\3-49A.TIF"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"E:\\2023\\同步\\打包\\2023秋 步步高 化学 人教版 必修第一册（京津辽粤浙渝鄂苏云晋皖黑吉桂贵甘赣豫新青宁蒙藏陕川冀湘）改教材\\教师用书Word版文档\\第三章　铁　金属材料\\3-49A.TIF"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"E:\\2023\\同步\\打包\\2023秋 步步高 化学 人教版 必修第一册（京津辽粤浙渝鄂苏云晋皖黑吉桂贵甘赣豫新青宁蒙藏陕川冀湘）改教材\\教师用书Word版文档\\第三章　铁　金属材料\\3-49A.TIF"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"\\\\徐圣哲\\e\\2023\\同步\\打包\\2023秋 步步高 化学 人教版 必修第一册（京津辽粤浙渝鄂苏云晋皖黑吉桂贵甘赣豫新青宁蒙藏陕川冀湘）改教材\\教师用书Word版文档\\第三章　铁　金属材料\\3-49A.TIF"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"\\\\徐圣哲\\e\\2023\\同步\\打包\\2023秋 步步高 化学 人教版 必修第一册（京津辽粤浙渝鄂苏云晋皖黑吉桂贵甘赣豫新青宁蒙藏陕川冀湘）改教材\\教师用书Word版文档\\第三章　铁　金属材料\\3-49A.TIF"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3148330" cy="709930"/>
            <wp:effectExtent l="0" t="0" r="13970" b="13970"/>
            <wp:docPr id="94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42"/>
                    <pic:cNvPicPr>
                      <a:picLocks noChangeAspect="1"/>
                    </pic:cNvPicPr>
                  </pic:nvPicPr>
                  <pic:blipFill>
                    <a:blip r:embed="rId5" r:link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48330" cy="709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31927E50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化学方程式中化学计量数与相关物理量的关系</w:t>
      </w:r>
    </w:p>
    <w:p w14:paraId="76EC463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　　　　　　2CO　＋　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hAnsi="宋体" w:cs="宋体"/>
        </w:rPr>
        <w:fldChar w:fldCharType="begin"/>
      </w:r>
      <w:r>
        <w:rPr>
          <w:rFonts w:hint="eastAsia" w:hAnsi="宋体" w:cs="宋体"/>
        </w:rPr>
        <w:instrText xml:space="preserve">eq \</w:instrText>
      </w:r>
      <w:r>
        <w:rPr>
          <w:rFonts w:hint="eastAsia" w:ascii="Times New Roman" w:hAnsi="Times New Roman" w:cs="Times New Roman"/>
        </w:rPr>
        <w:instrText xml:space="preserve">o(</w:instrText>
      </w:r>
      <w:r>
        <w:rPr>
          <w:rFonts w:hint="eastAsia" w:ascii="Times New Roman" w:hAnsi="Times New Roman" w:cs="Times New Roman"/>
          <w:spacing w:val="-16"/>
        </w:rPr>
        <w:instrText xml:space="preserve">====</w:instrText>
      </w:r>
      <w:r>
        <w:rPr>
          <w:rFonts w:hint="eastAsia" w:ascii="Times New Roman" w:hAnsi="Times New Roman" w:cs="Times New Roman"/>
        </w:rPr>
        <w:instrText xml:space="preserve">=,\s\up7(</w:instrText>
      </w:r>
      <w:r>
        <w:rPr>
          <w:rFonts w:ascii="Times New Roman" w:hAnsi="Times New Roman" w:cs="Times New Roman"/>
          <w:sz w:val="15"/>
        </w:rPr>
        <w:instrText xml:space="preserve">点燃</w:instrText>
      </w:r>
      <w:r>
        <w:rPr>
          <w:rFonts w:hint="eastAsia" w:ascii="Times New Roman" w:hAnsi="Times New Roman" w:cs="Times New Roman"/>
        </w:rPr>
        <w:instrText xml:space="preserve">))</w:instrText>
      </w:r>
      <w:r>
        <w:rPr>
          <w:rFonts w:hAnsi="宋体" w:cs="宋体"/>
        </w:rPr>
        <w:fldChar w:fldCharType="end"/>
      </w:r>
      <w:r>
        <w:rPr>
          <w:rFonts w:ascii="Times New Roman" w:hAnsi="Times New Roman" w:cs="Times New Roman"/>
        </w:rPr>
        <w:t>2CO</w:t>
      </w:r>
      <w:r>
        <w:rPr>
          <w:rFonts w:ascii="Times New Roman" w:hAnsi="Times New Roman" w:cs="Times New Roman"/>
          <w:vertAlign w:val="subscript"/>
        </w:rPr>
        <w:t>2</w:t>
      </w:r>
    </w:p>
    <w:p w14:paraId="5ABFF92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化学计量数　2　　　　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</w:t>
      </w:r>
      <w:r>
        <w:rPr>
          <w:rFonts w:ascii="Times New Roman" w:hAnsi="Times New Roman" w:cs="Times New Roman"/>
          <w:color w:val="0000FF"/>
        </w:rPr>
        <w:t xml:space="preserve">　　　 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</w:t>
      </w:r>
    </w:p>
    <w:p w14:paraId="23603A95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扩大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  <w:vertAlign w:val="subscript"/>
        </w:rPr>
        <w:t>A</w:t>
      </w:r>
      <w:r>
        <w:rPr>
          <w:rFonts w:ascii="Times New Roman" w:hAnsi="Times New Roman" w:cs="Times New Roman"/>
        </w:rPr>
        <w:t>倍　2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  <w:vertAlign w:val="subscript"/>
        </w:rPr>
        <w:t>A</w:t>
      </w:r>
      <w:r>
        <w:rPr>
          <w:rFonts w:ascii="Times New Roman" w:hAnsi="Times New Roman" w:cs="Times New Roman"/>
        </w:rPr>
        <w:t>　　　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</w:t>
      </w:r>
      <w:r>
        <w:rPr>
          <w:rFonts w:ascii="Times New Roman" w:hAnsi="Times New Roman" w:cs="Times New Roman"/>
          <w:color w:val="0000FF"/>
        </w:rPr>
        <w:t>　　　</w:t>
      </w:r>
      <w:r>
        <w:rPr>
          <w:rFonts w:hint="eastAsia" w:ascii="Times New Roman" w:hAnsi="Times New Roman" w:cs="Times New Roman"/>
          <w:color w:val="0000FF"/>
          <w:lang w:val="en-US" w:eastAsia="zh-CN"/>
        </w:rPr>
        <w:t xml:space="preserve"> 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</w:t>
      </w:r>
    </w:p>
    <w:p w14:paraId="605B371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  <w:color w:val="0000FF"/>
        </w:rPr>
      </w:pPr>
      <w:r>
        <w:rPr>
          <w:rFonts w:ascii="Times New Roman" w:hAnsi="Times New Roman" w:cs="Times New Roman"/>
        </w:rPr>
        <w:t>物质的量　　2 mol　　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</w:t>
      </w:r>
      <w:r>
        <w:rPr>
          <w:rFonts w:ascii="Times New Roman" w:hAnsi="Times New Roman" w:cs="Times New Roman"/>
          <w:color w:val="0000FF"/>
        </w:rPr>
        <w:t>　　</w:t>
      </w:r>
      <w:r>
        <w:rPr>
          <w:rFonts w:hint="eastAsia" w:ascii="Times New Roman" w:hAnsi="Times New Roman" w:cs="Times New Roman"/>
          <w:color w:val="0000FF"/>
          <w:lang w:val="en-US" w:eastAsia="zh-CN"/>
        </w:rPr>
        <w:t xml:space="preserve">   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</w:t>
      </w:r>
    </w:p>
    <w:p w14:paraId="1FEBE295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质量　　　　56 g　　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</w:t>
      </w:r>
      <w:r>
        <w:rPr>
          <w:rFonts w:ascii="Times New Roman" w:hAnsi="Times New Roman" w:cs="Times New Roman"/>
          <w:color w:val="0000FF"/>
        </w:rPr>
        <w:t>　　</w:t>
      </w:r>
      <w:r>
        <w:rPr>
          <w:rFonts w:hint="eastAsia" w:ascii="Times New Roman" w:hAnsi="Times New Roman" w:cs="Times New Roman"/>
          <w:color w:val="0000FF"/>
          <w:lang w:val="en-US" w:eastAsia="zh-CN"/>
        </w:rPr>
        <w:t xml:space="preserve">  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</w:t>
      </w:r>
    </w:p>
    <w:p w14:paraId="0FD49B5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  <w:color w:val="0000FF"/>
        </w:rPr>
      </w:pPr>
      <w:r>
        <w:rPr>
          <w:rFonts w:ascii="Times New Roman" w:hAnsi="Times New Roman" w:cs="Times New Roman"/>
        </w:rPr>
        <w:t>体积(标况)　44.8 L　　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</w:t>
      </w:r>
      <w:r>
        <w:rPr>
          <w:rFonts w:ascii="Times New Roman" w:hAnsi="Times New Roman" w:cs="Times New Roman"/>
          <w:color w:val="0000FF"/>
        </w:rPr>
        <w:t>　</w:t>
      </w:r>
      <w:r>
        <w:rPr>
          <w:rFonts w:hint="eastAsia" w:ascii="Times New Roman" w:hAnsi="Times New Roman" w:cs="Times New Roman"/>
          <w:color w:val="0000FF"/>
          <w:lang w:val="en-US" w:eastAsia="zh-CN"/>
        </w:rPr>
        <w:t xml:space="preserve">     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</w:t>
      </w:r>
    </w:p>
    <w:p w14:paraId="1F7A4467">
      <w:pPr>
        <w:pStyle w:val="2"/>
        <w:tabs>
          <w:tab w:val="left" w:pos="3402"/>
        </w:tabs>
        <w:snapToGrid w:val="0"/>
        <w:spacing w:line="24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(1)同一个化学方程式中各物质的化学计量数之比等于其物质的量之比。</w:t>
      </w:r>
    </w:p>
    <w:p w14:paraId="6C8396A1">
      <w:pPr>
        <w:pStyle w:val="2"/>
        <w:tabs>
          <w:tab w:val="left" w:pos="3402"/>
        </w:tabs>
        <w:snapToGrid w:val="0"/>
        <w:spacing w:line="24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(2)对于有气体参加的反应，在同温同压下各气体的化学计量数之比也等于其体积之比。</w:t>
      </w:r>
    </w:p>
    <w:p w14:paraId="25E8324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3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eastAsia="黑体" w:cs="Times New Roman"/>
        </w:rPr>
        <w:t>物质的量应用于化学方程式计算的基本步骤</w:t>
      </w:r>
    </w:p>
    <w:p w14:paraId="7ECA26E8">
      <w:pPr>
        <w:pStyle w:val="2"/>
        <w:tabs>
          <w:tab w:val="left" w:pos="3402"/>
        </w:tabs>
        <w:snapToGrid w:val="0"/>
        <w:spacing w:line="240" w:lineRule="auto"/>
        <w:jc w:val="center"/>
        <w:rPr>
          <w:rFonts w:ascii="Times New Roman" w:hAnsi="Times New Roman" w:eastAsia="黑体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"E:\\司瑞晴\\2023\\步步高\\同步\\步步高　化学　必修第一册(人教版)\\3-49.TIF"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必修第一册(人教版)\\word\\3-49.TIF"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必修第一册\\教师WORD(司瑞晴做)\\第三章　铁　金属材料\\3-49.TIF"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"\\\\徐圣哲\\e\\2023\\同步\\化学 人教通用 必修第一册\\教师WORD(司瑞晴做)\\第三章　铁　金属材料\\3-49.TIF"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"E:\\2023\\同步\\打包\\2023秋 步步高 化学 人教版 必修第一册（京津辽粤浙渝鄂苏云晋皖黑吉桂贵甘赣豫新青宁蒙藏陕川冀湘）改教材\\教师用书Word版文档\\第三章　铁　金属材料\\3-49.TIF"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"E:\\2023\\同步\\打包\\2023秋 步步高 化学 人教版 必修第一册（京津辽粤浙渝鄂苏云晋皖黑吉桂贵甘赣豫新青宁蒙藏陕川冀湘）改教材\\教师用书Word版文档\\第三章　铁　金属材料\\3-49.TIF"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"E:\\2023\\同步\\打包\\2023秋 步步高 化学 人教版 必修第一册（京津辽粤浙渝鄂苏云晋皖黑吉桂贵甘赣豫新青宁蒙藏陕川冀湘）改教材\\教师用书Word版文档\\第三章　铁　金属材料\\3-49.TIF"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"\\\\徐圣哲\\e\\2023\\同步\\打包\\2023秋 步步高 化学 人教版 必修第一册（京津辽粤浙渝鄂苏云晋皖黑吉桂贵甘赣豫新青宁蒙藏陕川冀湘）改教材\\教师用书Word版文档\\第三章　铁　金属材料\\3-49.TIF"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"\\\\徐圣哲\\e\\2023\\同步\\打包\\2023秋 步步高 化学 人教版 必修第一册（京津辽粤浙渝鄂苏云晋皖黑吉桂贵甘赣豫新青宁蒙藏陕川冀湘）改教材\\教师用书Word版文档\\第三章　铁　金属材料\\3-49.TIF"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672080" cy="1986280"/>
            <wp:effectExtent l="0" t="0" r="13970" b="13970"/>
            <wp:docPr id="95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43"/>
                    <pic:cNvPicPr>
                      <a:picLocks noChangeAspect="1"/>
                    </pic:cNvPicPr>
                  </pic:nvPicPr>
                  <pic:blipFill>
                    <a:blip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72080" cy="198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04004C72">
      <w:pPr>
        <w:pStyle w:val="2"/>
        <w:tabs>
          <w:tab w:val="left" w:pos="3402"/>
        </w:tabs>
        <w:snapToGrid w:val="0"/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根据化学方程式计算的注意事项</w:t>
      </w:r>
    </w:p>
    <w:p w14:paraId="167AD636">
      <w:pPr>
        <w:pStyle w:val="2"/>
        <w:tabs>
          <w:tab w:val="left" w:pos="3402"/>
        </w:tabs>
        <w:snapToGrid w:val="0"/>
        <w:spacing w:line="24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(1)书写格式规范化：各物理量、物质名称、公式等尽量用符号表示，且数据的运算要公式化并带单位。</w:t>
      </w:r>
    </w:p>
    <w:p w14:paraId="445DA198">
      <w:pPr>
        <w:pStyle w:val="2"/>
        <w:tabs>
          <w:tab w:val="left" w:pos="3402"/>
        </w:tabs>
        <w:snapToGrid w:val="0"/>
        <w:spacing w:line="24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(2)单位运用对应化：如果题目所给的两个量单位不一致，要注意两个量的单位要“上下一致，左右相当”。</w:t>
      </w:r>
    </w:p>
    <w:p w14:paraId="369D2BD5">
      <w:pPr>
        <w:pStyle w:val="2"/>
        <w:tabs>
          <w:tab w:val="left" w:pos="3402"/>
        </w:tabs>
        <w:snapToGrid w:val="0"/>
        <w:spacing w:line="240" w:lineRule="auto"/>
        <w:jc w:val="left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(3)如果两种反应物的量都是已知的，求解某种产物的量时，必须先判断哪种物质过量，然后根据量不足的物质进行计算。</w:t>
      </w:r>
    </w:p>
    <w:p w14:paraId="7C811D70">
      <w:pPr>
        <w:pStyle w:val="2"/>
        <w:tabs>
          <w:tab w:val="left" w:pos="3402"/>
        </w:tabs>
        <w:snapToGrid w:val="0"/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二、化学计算中的关系式法和方程组法</w:t>
      </w:r>
    </w:p>
    <w:p w14:paraId="694E14B4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关系式法</w:t>
      </w:r>
    </w:p>
    <w:p w14:paraId="3740C342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当已知量和未知量之间是靠多个反应来联系时，只需直接确定已知量和未知量之间的比例关系，即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关系式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。然后将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关系式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当作化学方程式使用，一步计算求出未知量。</w:t>
      </w:r>
    </w:p>
    <w:p w14:paraId="2708B4C2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(1)根据化学方程式确定关系式</w:t>
      </w:r>
    </w:p>
    <w:p w14:paraId="6764BB02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根据化学方程式确定关系式时，首先要写出化学方程式，然后要找出方程式变化中的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中间量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，通过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中间量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找出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已知量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与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未知量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之间的物质的量的关系</w:t>
      </w:r>
    </w:p>
    <w:p w14:paraId="1403967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(2)根据原子守恒确定关系式</w:t>
      </w:r>
    </w:p>
    <w:p w14:paraId="28189D06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上述例子中也可以由硫原子守恒直接得出关系式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S～H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SO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。</w:t>
      </w:r>
    </w:p>
    <w:p w14:paraId="55BC544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方程组法</w:t>
      </w:r>
    </w:p>
    <w:p w14:paraId="0D956F93">
      <w:pPr>
        <w:pStyle w:val="2"/>
        <w:tabs>
          <w:tab w:val="left" w:pos="3402"/>
        </w:tabs>
        <w:snapToGrid w:val="0"/>
        <w:spacing w:line="240" w:lineRule="auto"/>
      </w:pPr>
      <w:r>
        <w:rPr>
          <w:rFonts w:ascii="Times New Roman" w:hAnsi="Times New Roman" w:cs="Times New Roman"/>
        </w:rPr>
        <w:t>方程组法一般用于解决两种物质的混合物计算，一般读题时能找到两个已知量时，均可以利用二元一次方程组进行求算未知量。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A2FC01">
    <w:pPr>
      <w:pStyle w:val="3"/>
      <w:pBdr>
        <w:bottom w:val="single" w:color="auto" w:sz="4" w:space="1"/>
      </w:pBdr>
      <w:jc w:val="right"/>
      <w:rPr>
        <w:rFonts w:hint="eastAsia"/>
      </w:rPr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必修第一册</w:t>
    </w:r>
    <w:r>
      <w:rPr>
        <w:rFonts w:hint="eastAsia"/>
      </w:rPr>
      <w:t xml:space="preserve"> RJ》使用</w:t>
    </w:r>
  </w:p>
  <w:bookmarkEnd w:id="0"/>
  <w:p w14:paraId="685FF850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E87D92"/>
    <w:rsid w:val="03F615EA"/>
    <w:rsid w:val="174A0635"/>
    <w:rsid w:val="18495D36"/>
    <w:rsid w:val="1BA95318"/>
    <w:rsid w:val="1DFD6155"/>
    <w:rsid w:val="25DF2690"/>
    <w:rsid w:val="316B3EE1"/>
    <w:rsid w:val="331A686E"/>
    <w:rsid w:val="348340C5"/>
    <w:rsid w:val="3B146422"/>
    <w:rsid w:val="482367FA"/>
    <w:rsid w:val="4E446B85"/>
    <w:rsid w:val="4F5A6860"/>
    <w:rsid w:val="5425735B"/>
    <w:rsid w:val="56F52014"/>
    <w:rsid w:val="58FE3846"/>
    <w:rsid w:val="62B84B01"/>
    <w:rsid w:val="69D5469B"/>
    <w:rsid w:val="6D734995"/>
    <w:rsid w:val="72F86CBC"/>
    <w:rsid w:val="7CAB7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正文1"/>
    <w:basedOn w:val="1"/>
    <w:qFormat/>
    <w:uiPriority w:val="0"/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3-49.TIF" TargetMode="External"/><Relationship Id="rId7" Type="http://schemas.openxmlformats.org/officeDocument/2006/relationships/image" Target="media/image3.png"/><Relationship Id="rId6" Type="http://schemas.openxmlformats.org/officeDocument/2006/relationships/image" Target="3-49A.TIF" TargetMode="Externa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661</Words>
  <Characters>709</Characters>
  <Lines>0</Lines>
  <Paragraphs>0</Paragraphs>
  <TotalTime>0</TotalTime>
  <ScaleCrop>false</ScaleCrop>
  <LinksUpToDate>false</LinksUpToDate>
  <CharactersWithSpaces>769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2025-04-21T08:18:00Z</dcterms:created>
  <dc:creator>89425</dc:creator>
  <cp:lastModifiedBy>刘岩</cp:lastModifiedBy>
  <dcterms:modified xsi:type="dcterms:W3CDTF">2025-04-28T02:34:26Z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C90635A54E2A4E10904F389C191DA248_13</vt:lpwstr>
  </property>
</Properties>
</file>