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CC522">
      <w:pPr>
        <w:spacing w:line="360" w:lineRule="auto"/>
        <w:jc w:val="center"/>
        <w:rPr>
          <w:rFonts w:hint="eastAsia"/>
          <w:b/>
          <w:bCs w:val="0"/>
          <w:sz w:val="24"/>
          <w:szCs w:val="21"/>
        </w:rPr>
      </w:pPr>
      <w:r>
        <w:rPr>
          <w:rFonts w:hint="eastAsia"/>
          <w:b/>
          <w:bCs w:val="0"/>
          <w:sz w:val="24"/>
          <w:szCs w:val="21"/>
        </w:rPr>
        <w:t>4.3 一元二次不等式的应用</w:t>
      </w:r>
    </w:p>
    <w:p w14:paraId="66DBA7AD">
      <w:pPr>
        <w:spacing w:line="360" w:lineRule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1. </w:t>
      </w:r>
      <w:r>
        <w:rPr>
          <w:rFonts w:hint="eastAsia"/>
        </w:rPr>
        <w:t>利用不等式解决实际问题的一般步骤如下</w:t>
      </w:r>
      <w:r>
        <w:rPr>
          <w:rFonts w:hint="eastAsia"/>
          <w:lang w:eastAsia="zh-CN"/>
        </w:rPr>
        <w:t>：</w:t>
      </w:r>
    </w:p>
    <w:p w14:paraId="48605333">
      <w:pPr>
        <w:spacing w:line="360" w:lineRule="auto"/>
        <w:rPr>
          <w:rFonts w:hint="eastAsia" w:eastAsia="宋体"/>
          <w:lang w:eastAsia="zh-CN"/>
        </w:rPr>
      </w:pPr>
      <w:r>
        <w:rPr>
          <w:rFonts w:hint="eastAsia"/>
        </w:rPr>
        <w:t>(1)选取合适的字母表示题中的未知数</w:t>
      </w:r>
      <w:r>
        <w:rPr>
          <w:rFonts w:hint="eastAsia"/>
          <w:lang w:eastAsia="zh-CN"/>
        </w:rPr>
        <w:t>；</w:t>
      </w:r>
    </w:p>
    <w:p w14:paraId="750B5973">
      <w:pPr>
        <w:spacing w:line="360" w:lineRule="auto"/>
        <w:rPr>
          <w:rFonts w:hint="eastAsia"/>
          <w:lang w:eastAsia="zh-CN"/>
        </w:rPr>
      </w:pPr>
      <w:r>
        <w:rPr>
          <w:rFonts w:hint="eastAsia"/>
        </w:rPr>
        <w:t>(2)由题中给出的不等关系</w:t>
      </w:r>
      <w:r>
        <w:rPr>
          <w:rFonts w:hint="eastAsia"/>
          <w:lang w:eastAsia="zh-CN"/>
        </w:rPr>
        <w:t>，</w:t>
      </w:r>
      <w:r>
        <w:rPr>
          <w:rFonts w:hint="eastAsia"/>
        </w:rPr>
        <w:t>列出关于未知数的不等式(组)</w:t>
      </w:r>
      <w:r>
        <w:rPr>
          <w:rFonts w:hint="eastAsia"/>
          <w:lang w:eastAsia="zh-CN"/>
        </w:rPr>
        <w:t>；</w:t>
      </w:r>
    </w:p>
    <w:p w14:paraId="69025795">
      <w:pPr>
        <w:spacing w:line="360" w:lineRule="auto"/>
        <w:rPr>
          <w:rFonts w:hint="eastAsia" w:eastAsia="宋体"/>
          <w:lang w:eastAsia="zh-CN"/>
        </w:rPr>
      </w:pPr>
      <w:r>
        <w:rPr>
          <w:rFonts w:hint="eastAsia"/>
        </w:rPr>
        <w:t>(3)求解所列出的不等式(组)</w:t>
      </w:r>
      <w:r>
        <w:rPr>
          <w:rFonts w:hint="eastAsia"/>
          <w:lang w:eastAsia="zh-CN"/>
        </w:rPr>
        <w:t>；</w:t>
      </w:r>
    </w:p>
    <w:p w14:paraId="3468515C">
      <w:pPr>
        <w:spacing w:line="360" w:lineRule="auto"/>
        <w:rPr>
          <w:rFonts w:hint="eastAsia"/>
        </w:rPr>
      </w:pPr>
      <w:r>
        <w:rPr>
          <w:rFonts w:hint="eastAsia"/>
        </w:rPr>
        <w:t>(4)结合题目的实际意义确定答案</w:t>
      </w:r>
    </w:p>
    <w:p w14:paraId="65B05C99">
      <w:pPr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自主诊断</w:t>
      </w:r>
      <w:r>
        <w:rPr>
          <w:rFonts w:hint="eastAsia"/>
          <w:lang w:eastAsia="zh-CN"/>
        </w:rPr>
        <w:t>】</w:t>
      </w:r>
    </w:p>
    <w:p w14:paraId="2FAD049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．有一人患了流感，经过两轮传染后超过100人患了流感，若设每轮传染中平均一个人传染了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个人，那么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满足的不等关系为（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</w:p>
    <w:p w14:paraId="763D1765"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A．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（1+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）≥100</w:t>
      </w:r>
      <w:r>
        <w:rPr>
          <w:sz w:val="21"/>
        </w:rPr>
        <w:tab/>
      </w:r>
      <w:r>
        <w:rPr>
          <w:sz w:val="21"/>
        </w:rPr>
        <w:t>B．1+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（1+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）＞100</w:t>
      </w:r>
    </w:p>
    <w:p w14:paraId="6D37EF21"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C．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+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（1+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）≥100</w:t>
      </w:r>
      <w:r>
        <w:rPr>
          <w:sz w:val="21"/>
        </w:rPr>
        <w:tab/>
      </w:r>
      <w:r>
        <w:rPr>
          <w:sz w:val="21"/>
        </w:rPr>
        <w:t>D．1+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+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（1+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）＞100</w:t>
      </w:r>
    </w:p>
    <w:p w14:paraId="58BA158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 xml:space="preserve">1. </w:t>
      </w:r>
      <w:r>
        <w:rPr>
          <w:sz w:val="21"/>
        </w:rPr>
        <w:t>D【</w:t>
      </w:r>
      <w:r>
        <w:rPr>
          <w:rFonts w:hint="eastAsia"/>
          <w:sz w:val="21"/>
          <w:lang w:val="en-US" w:eastAsia="zh-CN"/>
        </w:rPr>
        <w:t>解析</w:t>
      </w:r>
      <w:r>
        <w:rPr>
          <w:sz w:val="21"/>
        </w:rPr>
        <w:t>】若每轮传染中平均一个人传染了x</w:t>
      </w:r>
      <w:r>
        <w:rPr>
          <w:sz w:val="21"/>
        </w:rPr>
        <w:t>个人，则经过第一轮后有（1+x</w:t>
      </w:r>
      <w:r>
        <w:rPr>
          <w:sz w:val="21"/>
        </w:rPr>
        <w:t>）个人患了流感，经过第二轮后有[（1+x</w:t>
      </w:r>
      <w:r>
        <w:rPr>
          <w:sz w:val="21"/>
        </w:rPr>
        <w:t>）+x</w:t>
      </w:r>
      <w:r>
        <w:rPr>
          <w:sz w:val="21"/>
        </w:rPr>
        <w:t>（1+x</w:t>
      </w:r>
      <w:r>
        <w:rPr>
          <w:sz w:val="21"/>
        </w:rPr>
        <w:t>）]个人患了流感，∴x</w:t>
      </w:r>
      <w:r>
        <w:rPr>
          <w:sz w:val="21"/>
        </w:rPr>
        <w:t>满足的不等关系为（1+x</w:t>
      </w:r>
      <w:r>
        <w:rPr>
          <w:sz w:val="21"/>
        </w:rPr>
        <w:t>）+x</w:t>
      </w:r>
      <w:r>
        <w:rPr>
          <w:sz w:val="21"/>
        </w:rPr>
        <w:t>（1+x</w:t>
      </w:r>
      <w:r>
        <w:rPr>
          <w:sz w:val="21"/>
        </w:rPr>
        <w:t>）＞100.故选D．</w:t>
      </w:r>
    </w:p>
    <w:p w14:paraId="13BE15E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．如图,在长为8</w:t>
      </w:r>
      <w:r>
        <w:rPr>
          <w:i/>
          <w:sz w:val="21"/>
        </w:rPr>
        <w:t>m</w:t>
      </w:r>
      <w:r>
        <w:rPr>
          <w:sz w:val="21"/>
        </w:rPr>
        <w:t>,宽为6</w:t>
      </w:r>
      <w:r>
        <w:rPr>
          <w:i/>
          <w:sz w:val="21"/>
        </w:rPr>
        <w:t>m</w:t>
      </w:r>
      <w:r>
        <w:rPr>
          <w:sz w:val="21"/>
        </w:rPr>
        <w:t>的矩形地面的四周种植花卉,中间种植草坪.如果要求花卉带的宽度相同,且草坪的面积不超过总面积的一半,那么花卉带的宽度应为多少米?</w:t>
      </w:r>
    </w:p>
    <w:p w14:paraId="3A8E514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628775" cy="1219200"/>
            <wp:effectExtent l="0" t="0" r="9525" b="0"/>
            <wp:docPr id="100003" name="图片 100003" descr="@@@2d728d11-aa1b-4dbc-a4b2-bfe122e3e2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2d728d11-aa1b-4dbc-a4b2-bfe122e3e29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 w14:paraId="0B5395CB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2.【解】设花卉带的宽度应为</w:t>
      </w:r>
      <w:r>
        <w:rPr>
          <w:rFonts w:hint="eastAsia"/>
          <w:sz w:val="21"/>
          <w:lang w:val="en-US" w:eastAsia="zh-CN"/>
        </w:rPr>
        <w:object>
          <v:shape id="_x0000_i1038" o:spt="75" alt="eqIdf935c57deea934138d59bfa60bf8d86f" type="#_x0000_t75" style="height:9.9pt;width:15.8pt;" o:ole="t" filled="f" o:preferrelative="t" stroked="f" coordsize="21600,21600">
            <v:path/>
            <v:fill on="f" focussize="0,0"/>
            <v:stroke on="f" joinstyle="miter"/>
            <v:imagedata r:id="rId7" o:title="eqIdf935c57deea934138d59bfa60bf8d86f"/>
            <o:lock v:ext="edit" aspectratio="t"/>
            <w10:wrap type="none"/>
            <w10:anchorlock/>
          </v:shape>
          <o:OLEObject Type="Embed" ProgID="Equation.DSMT4" ShapeID="_x0000_i1038" DrawAspect="Content" ObjectID="_1468075725" r:id="rId6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,则</w:t>
      </w:r>
      <w:r>
        <w:rPr>
          <w:rFonts w:hint="eastAsia"/>
          <w:sz w:val="21"/>
          <w:lang w:val="en-US" w:eastAsia="zh-CN"/>
        </w:rPr>
        <w:object>
          <v:shape id="_x0000_i1039" o:spt="75" alt="eqIdb3c9f3b4b35cfca5f9724c924fc53f9f" type="#_x0000_t75" style="height:27.1pt;width:109.1pt;" o:ole="t" filled="f" o:preferrelative="t" stroked="f" coordsize="21600,21600">
            <v:path/>
            <v:fill on="f" focussize="0,0"/>
            <v:stroke on="f" joinstyle="miter"/>
            <v:imagedata r:id="rId9" o:title="eqIdb3c9f3b4b35cfca5f9724c924fc53f9f"/>
            <o:lock v:ext="edit" aspectratio="t"/>
            <w10:wrap type="none"/>
            <w10:anchorlock/>
          </v:shape>
          <o:OLEObject Type="Embed" ProgID="Equation.DSMT4" ShapeID="_x0000_i1039" DrawAspect="Content" ObjectID="_1468075726" r:id="rId8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,</w:t>
      </w:r>
      <w:r>
        <w:rPr>
          <w:rFonts w:hint="eastAsia"/>
          <w:sz w:val="21"/>
          <w:lang w:val="en-US" w:eastAsia="zh-CN"/>
        </w:rPr>
        <w:object>
          <v:shape id="_x0000_i1040" o:spt="75" alt="eqId4b94f151c00959a1cd3946e7f8405337" type="#_x0000_t75" style="height:12.65pt;width:39.55pt;" o:ole="t" filled="f" o:preferrelative="t" stroked="f" coordsize="21600,21600">
            <v:path/>
            <v:fill on="f" focussize="0,0"/>
            <v:stroke on="f" joinstyle="miter"/>
            <v:imagedata r:id="rId11" o:title="eqId4b94f151c00959a1cd3946e7f8405337"/>
            <o:lock v:ext="edit" aspectratio="t"/>
            <w10:wrap type="none"/>
            <w10:anchorlock/>
          </v:shape>
          <o:OLEObject Type="Embed" ProgID="Equation.DSMT4" ShapeID="_x0000_i1040" DrawAspect="Content" ObjectID="_1468075727" r:id="rId10">
            <o:LockedField>false</o:LockedField>
          </o:OLEObject>
        </w:object>
      </w:r>
    </w:p>
    <w:p w14:paraId="4D104801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即</w:t>
      </w:r>
      <w:r>
        <w:rPr>
          <w:rFonts w:hint="eastAsia"/>
          <w:sz w:val="21"/>
          <w:lang w:val="en-US" w:eastAsia="zh-CN"/>
        </w:rPr>
        <w:object>
          <v:shape id="_x0000_i1041" o:spt="75" alt="eqId396243b79338d559e8bc7962dafae6b8" type="#_x0000_t75" style="height:13.85pt;width:63.35pt;" o:ole="t" filled="f" o:preferrelative="t" stroked="f" coordsize="21600,21600">
            <v:path/>
            <v:fill on="f" focussize="0,0"/>
            <v:stroke on="f" joinstyle="miter"/>
            <v:imagedata r:id="rId13" o:title="eqId396243b79338d559e8bc7962dafae6b8"/>
            <o:lock v:ext="edit" aspectratio="t"/>
            <w10:wrap type="none"/>
            <w10:anchorlock/>
          </v:shape>
          <o:OLEObject Type="Embed" ProgID="Equation.DSMT4" ShapeID="_x0000_i1041" DrawAspect="Content" ObjectID="_1468075728" r:id="rId12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,化简得</w:t>
      </w:r>
      <w:r>
        <w:rPr>
          <w:rFonts w:hint="eastAsia"/>
          <w:sz w:val="21"/>
          <w:lang w:val="en-US" w:eastAsia="zh-CN"/>
        </w:rPr>
        <w:object>
          <v:shape id="_x0000_i1042" o:spt="75" alt="eqId983174077045b3b613fe79e5454a5942" type="#_x0000_t75" style="height:13.85pt;width:71.25pt;" o:ole="t" filled="f" o:preferrelative="t" stroked="f" coordsize="21600,21600">
            <v:path/>
            <v:fill on="f" focussize="0,0"/>
            <v:stroke on="f" joinstyle="miter"/>
            <v:imagedata r:id="rId15" o:title="eqId983174077045b3b613fe79e5454a5942"/>
            <o:lock v:ext="edit" aspectratio="t"/>
            <w10:wrap type="none"/>
            <w10:anchorlock/>
          </v:shape>
          <o:OLEObject Type="Embed" ProgID="Equation.DSMT4" ShapeID="_x0000_i1042" DrawAspect="Content" ObjectID="_1468075729" r:id="rId14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object>
          <v:shape id="_x0000_i1043" o:spt="75" alt="eqId763670205ffd9922cd3be68265842765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17" o:title="eqId763670205ffd9922cd3be68265842765"/>
            <o:lock v:ext="edit" aspectratio="t"/>
            <w10:wrap type="none"/>
            <w10:anchorlock/>
          </v:shape>
          <o:OLEObject Type="Embed" ProgID="Equation.DSMT4" ShapeID="_x0000_i1043" DrawAspect="Content" ObjectID="_1468075730" r:id="rId16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而</w:t>
      </w:r>
      <w:r>
        <w:rPr>
          <w:rFonts w:hint="eastAsia"/>
          <w:sz w:val="21"/>
          <w:lang w:val="en-US" w:eastAsia="zh-CN"/>
        </w:rPr>
        <w:object>
          <v:shape id="_x0000_i1044" o:spt="75" alt="eqId4b94f151c00959a1cd3946e7f8405337" type="#_x0000_t75" style="height:12.65pt;width:39.55pt;" o:ole="t" filled="f" o:preferrelative="t" stroked="f" coordsize="21600,21600">
            <v:path/>
            <v:fill on="f" focussize="0,0"/>
            <v:stroke on="f" joinstyle="miter"/>
            <v:imagedata r:id="rId11" o:title="eqId4b94f151c00959a1cd3946e7f8405337"/>
            <o:lock v:ext="edit" aspectratio="t"/>
            <w10:wrap type="none"/>
            <w10:anchorlock/>
          </v:shape>
          <o:OLEObject Type="Embed" ProgID="Equation.DSMT4" ShapeID="_x0000_i1044" DrawAspect="Content" ObjectID="_1468075731" r:id="rId18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object>
          <v:shape id="_x0000_i1045" o:spt="75" alt="eqId61e0cc1a809f478df190a2864bb2dd57" type="#_x0000_t75" style="height:13.2pt;width:42.2pt;" o:ole="t" filled="f" o:preferrelative="t" stroked="f" coordsize="21600,21600">
            <v:path/>
            <v:fill on="f" focussize="0,0"/>
            <v:stroke on="f" joinstyle="miter"/>
            <v:imagedata r:id="rId20" o:title="eqId61e0cc1a809f478df190a2864bb2dd57"/>
            <o:lock v:ext="edit" aspectratio="t"/>
            <w10:wrap type="none"/>
            <w10:anchorlock/>
          </v:shape>
          <o:OLEObject Type="Embed" ProgID="Equation.DSMT4" ShapeID="_x0000_i1045" DrawAspect="Content" ObjectID="_1468075732" r:id="rId19">
            <o:LockedField>false</o:LockedField>
          </o:OLEObject>
        </w:object>
      </w:r>
    </w:p>
    <w:p w14:paraId="375BA475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答:花卉带的宽度应大于等于1m,且小于3m.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B289FA">
    <w:pPr>
      <w:pStyle w:val="4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D02FA"/>
    <w:rsid w:val="32417B60"/>
    <w:rsid w:val="35ED38B0"/>
    <w:rsid w:val="551E34D6"/>
    <w:rsid w:val="58FC4D89"/>
    <w:rsid w:val="63F95EE6"/>
    <w:rsid w:val="7B1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theme="majorBidi"/>
      <w:bCs/>
      <w:iCs/>
      <w:color w:val="000000"/>
      <w:kern w:val="0"/>
      <w:sz w:val="21"/>
      <w:szCs w:val="18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eastAsia="仿宋" w:asciiTheme="majorAscii" w:hAnsiTheme="majorAscii" w:cstheme="majorBidi"/>
      <w:color w:val="000000"/>
      <w:kern w:val="0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2025-02-06T01:13:00Z</dcterms:created>
  <dc:creator>89425</dc:creator>
  <cp:lastModifiedBy>黎啊梨啊哩哩哩</cp:lastModifiedBy>
  <dcterms:modified xsi:type="dcterms:W3CDTF">2025-04-30T08:58:59Z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6FADA6FF2EE748F2A9D355740DFB6433_12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