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0B96">
      <w:pPr>
        <w:jc w:val="center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地</w:t>
      </w:r>
      <w:bookmarkStart w:id="0" w:name="_GoBack"/>
      <w:bookmarkEnd w:id="0"/>
      <w:r>
        <w:rPr>
          <w:rFonts w:hint="eastAsia"/>
          <w:color w:val="auto"/>
          <w:sz w:val="36"/>
          <w:szCs w:val="36"/>
          <w:lang w:val="en-US" w:eastAsia="zh-CN"/>
        </w:rPr>
        <w:t>理预习卡（三）地球的宇宙环境1.3</w:t>
      </w:r>
    </w:p>
    <w:p w14:paraId="47F9248D">
      <w:pPr>
        <w:kinsoku w:val="0"/>
        <w:autoSpaceDE w:val="0"/>
        <w:autoSpaceDN w:val="0"/>
        <w:adjustRightInd w:val="0"/>
        <w:snapToGrid w:val="0"/>
        <w:spacing w:before="90" w:line="253" w:lineRule="auto"/>
        <w:ind w:left="23" w:right="427" w:firstLine="1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1.</w:t>
      </w:r>
      <w:r>
        <w:rPr>
          <w:rFonts w:ascii="Calibri" w:hAnsi="Calibri" w:eastAsia="Calibri" w:cs="Calibri"/>
          <w:snapToGrid w:val="0"/>
          <w:color w:val="auto"/>
          <w:spacing w:val="15"/>
          <w:kern w:val="0"/>
          <w:sz w:val="21"/>
          <w:szCs w:val="21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太阳辐射的传播方式：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u w:val="single" w:color="auto"/>
          <w:lang w:val="en-US" w:eastAsia="en-US" w:bidi="ar-SA"/>
        </w:rPr>
        <w:t>电磁波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。能量来源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：太阳内部的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核聚变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。能量分布：</w:t>
      </w:r>
      <w:r>
        <w:rPr>
          <w:rFonts w:ascii="Calibri" w:hAnsi="Calibri" w:eastAsia="Calibri" w:cs="Calibri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50%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左右的能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量集中在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可见光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波段。</w:t>
      </w:r>
    </w:p>
    <w:p w14:paraId="60DC37EB">
      <w:pPr>
        <w:kinsoku w:val="0"/>
        <w:autoSpaceDE w:val="0"/>
        <w:autoSpaceDN w:val="0"/>
        <w:adjustRightInd w:val="0"/>
        <w:snapToGrid w:val="0"/>
        <w:spacing w:before="92" w:line="219" w:lineRule="auto"/>
        <w:ind w:left="2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2.</w:t>
      </w:r>
      <w:r>
        <w:rPr>
          <w:rFonts w:ascii="Calibri" w:hAnsi="Calibri" w:eastAsia="Calibri" w:cs="Calibri"/>
          <w:snapToGrid w:val="0"/>
          <w:color w:val="auto"/>
          <w:spacing w:val="16"/>
          <w:kern w:val="0"/>
          <w:sz w:val="21"/>
          <w:szCs w:val="21"/>
          <w:lang w:val="en-US" w:eastAsia="en-US" w:bidi="ar-SA"/>
        </w:rPr>
        <w:t xml:space="preserve">  </w:t>
      </w:r>
      <w:r>
        <w:rPr>
          <w:rFonts w:ascii="宋体" w:hAnsi="宋体" w:eastAsia="宋体" w:cs="宋体"/>
          <w:snapToGrid w:val="0"/>
          <w:color w:val="auto"/>
          <w:spacing w:val="-2"/>
          <w:kern w:val="0"/>
          <w:sz w:val="21"/>
          <w:szCs w:val="21"/>
          <w:lang w:val="en-US" w:eastAsia="en-US" w:bidi="ar-SA"/>
        </w:rPr>
        <w:t>太阳辐射对地球的影响：</w:t>
      </w:r>
    </w:p>
    <w:p w14:paraId="4ECA4703">
      <w:pPr>
        <w:kinsoku w:val="0"/>
        <w:autoSpaceDE w:val="0"/>
        <w:autoSpaceDN w:val="0"/>
        <w:adjustRightInd w:val="0"/>
        <w:snapToGrid w:val="0"/>
        <w:spacing w:before="87" w:line="217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①太阳辐射为人类提供能源：</w:t>
      </w:r>
    </w:p>
    <w:p w14:paraId="5709C303">
      <w:pPr>
        <w:kinsoku w:val="0"/>
        <w:autoSpaceDE w:val="0"/>
        <w:autoSpaceDN w:val="0"/>
        <w:adjustRightInd w:val="0"/>
        <w:snapToGrid w:val="0"/>
        <w:spacing w:before="92" w:line="212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① 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煤炭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石油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等化石燃料</w:t>
      </w:r>
      <w:r>
        <w:rPr>
          <w:rFonts w:ascii="Calibri" w:hAnsi="Calibri" w:eastAsia="Calibri" w:cs="Calibri"/>
          <w:snapToGrid w:val="0"/>
          <w:color w:val="auto"/>
          <w:kern w:val="0"/>
          <w:sz w:val="21"/>
          <w:szCs w:val="21"/>
          <w:lang w:val="en-US" w:eastAsia="en-US" w:bidi="ar-SA"/>
        </w:rPr>
        <w:t>,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是地质时期生物固定以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后积累下来的太阳能。</w:t>
      </w:r>
    </w:p>
    <w:p w14:paraId="2F775C0B">
      <w:pPr>
        <w:kinsoku w:val="0"/>
        <w:autoSpaceDE w:val="0"/>
        <w:autoSpaceDN w:val="0"/>
        <w:adjustRightInd w:val="0"/>
        <w:snapToGrid w:val="0"/>
        <w:spacing w:before="101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② 是日常生活和生产中所用的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太阳灶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太阳能热水器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太阳能电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站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的主要能量来源。</w:t>
      </w:r>
    </w:p>
    <w:p w14:paraId="50F964EB">
      <w:pPr>
        <w:kinsoku w:val="0"/>
        <w:autoSpaceDE w:val="0"/>
        <w:autoSpaceDN w:val="0"/>
        <w:adjustRightInd w:val="0"/>
        <w:snapToGrid w:val="0"/>
        <w:spacing w:before="90" w:line="219" w:lineRule="auto"/>
        <w:ind w:left="2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3</w:t>
      </w:r>
      <w:r>
        <w:rPr>
          <w:rFonts w:ascii="Calibri" w:hAnsi="Calibri" w:eastAsia="Calibri" w:cs="Calibri"/>
          <w:snapToGrid w:val="0"/>
          <w:color w:val="auto"/>
          <w:spacing w:val="-18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1"/>
          <w:szCs w:val="21"/>
          <w:lang w:val="en-US" w:eastAsia="en-US" w:bidi="ar-SA"/>
        </w:rPr>
        <w:t>．太阳辐射对自然地理环境的影响：</w:t>
      </w:r>
    </w:p>
    <w:p w14:paraId="4F9E5C8F">
      <w:pPr>
        <w:widowControl/>
        <w:kinsoku w:val="0"/>
        <w:autoSpaceDE w:val="0"/>
        <w:autoSpaceDN w:val="0"/>
        <w:adjustRightInd w:val="0"/>
        <w:snapToGrid w:val="0"/>
        <w:spacing w:line="53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tbl>
      <w:tblPr>
        <w:tblStyle w:val="8"/>
        <w:tblW w:w="853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5"/>
        <w:gridCol w:w="6633"/>
      </w:tblGrid>
      <w:tr w14:paraId="495F7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905" w:type="dxa"/>
            <w:vMerge w:val="restart"/>
            <w:tcBorders>
              <w:bottom w:val="nil"/>
            </w:tcBorders>
            <w:vAlign w:val="top"/>
          </w:tcPr>
          <w:p w14:paraId="5D0DE95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658E025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AA38E88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对地理环境的影响</w:t>
            </w:r>
          </w:p>
        </w:tc>
        <w:tc>
          <w:tcPr>
            <w:tcW w:w="6633" w:type="dxa"/>
            <w:vAlign w:val="top"/>
          </w:tcPr>
          <w:p w14:paraId="6915F30A">
            <w:pPr>
              <w:kinsoku w:val="0"/>
              <w:autoSpaceDE w:val="0"/>
              <w:autoSpaceDN w:val="0"/>
              <w:adjustRightInd w:val="0"/>
              <w:snapToGrid w:val="0"/>
              <w:spacing w:before="69" w:line="227" w:lineRule="auto"/>
              <w:ind w:left="4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太阳辐射能是地球上大气能量的根本来源，维持地表温度</w:t>
            </w:r>
          </w:p>
        </w:tc>
      </w:tr>
      <w:tr w14:paraId="355C3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905" w:type="dxa"/>
            <w:vMerge w:val="continue"/>
            <w:tcBorders>
              <w:top w:val="nil"/>
              <w:bottom w:val="nil"/>
            </w:tcBorders>
            <w:vAlign w:val="top"/>
          </w:tcPr>
          <w:p w14:paraId="63532D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08F81B63">
            <w:pPr>
              <w:kinsoku w:val="0"/>
              <w:autoSpaceDE w:val="0"/>
              <w:autoSpaceDN w:val="0"/>
              <w:adjustRightInd w:val="0"/>
              <w:snapToGrid w:val="0"/>
              <w:spacing w:before="109" w:line="228" w:lineRule="auto"/>
              <w:ind w:left="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太阳辐射的能量是地球上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大气运动、水循环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的主要动力</w:t>
            </w:r>
          </w:p>
        </w:tc>
      </w:tr>
      <w:tr w14:paraId="0CC5A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05" w:type="dxa"/>
            <w:vMerge w:val="continue"/>
            <w:tcBorders>
              <w:top w:val="nil"/>
              <w:bottom w:val="nil"/>
            </w:tcBorders>
            <w:vAlign w:val="top"/>
          </w:tcPr>
          <w:p w14:paraId="4476A7B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1E323568">
            <w:pPr>
              <w:kinsoku w:val="0"/>
              <w:autoSpaceDE w:val="0"/>
              <w:autoSpaceDN w:val="0"/>
              <w:adjustRightInd w:val="0"/>
              <w:snapToGrid w:val="0"/>
              <w:spacing w:before="109" w:line="228" w:lineRule="auto"/>
              <w:ind w:left="9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7"/>
                <w:kern w:val="0"/>
                <w:sz w:val="21"/>
                <w:szCs w:val="21"/>
                <w:lang w:val="en-US" w:eastAsia="en-US" w:bidi="ar-SA"/>
              </w:rPr>
              <w:t>自然界的岩石风化等与太阳辐射有关</w:t>
            </w:r>
          </w:p>
        </w:tc>
      </w:tr>
      <w:tr w14:paraId="2221C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905" w:type="dxa"/>
            <w:vMerge w:val="continue"/>
            <w:tcBorders>
              <w:top w:val="nil"/>
            </w:tcBorders>
            <w:vAlign w:val="top"/>
          </w:tcPr>
          <w:p w14:paraId="1F9FA39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5B27E223">
            <w:pPr>
              <w:kinsoku w:val="0"/>
              <w:autoSpaceDE w:val="0"/>
              <w:autoSpaceDN w:val="0"/>
              <w:adjustRightInd w:val="0"/>
              <w:snapToGrid w:val="0"/>
              <w:spacing w:before="112" w:line="227" w:lineRule="auto"/>
              <w:ind w:left="5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从生物界来看，动植物的生长发育离不开太阳提供的光热资源</w:t>
            </w:r>
          </w:p>
        </w:tc>
      </w:tr>
      <w:tr w14:paraId="6B2A6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905" w:type="dxa"/>
            <w:vMerge w:val="restart"/>
            <w:tcBorders>
              <w:bottom w:val="nil"/>
            </w:tcBorders>
            <w:vAlign w:val="top"/>
          </w:tcPr>
          <w:p w14:paraId="7252327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7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  <w:p w14:paraId="4EB18986">
            <w:pPr>
              <w:kinsoku w:val="0"/>
              <w:autoSpaceDE w:val="0"/>
              <w:autoSpaceDN w:val="0"/>
              <w:adjustRightInd w:val="0"/>
              <w:snapToGrid w:val="0"/>
              <w:spacing w:before="65" w:line="228" w:lineRule="auto"/>
              <w:ind w:left="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对生产生活</w:t>
            </w:r>
          </w:p>
        </w:tc>
        <w:tc>
          <w:tcPr>
            <w:tcW w:w="6633" w:type="dxa"/>
            <w:vAlign w:val="top"/>
          </w:tcPr>
          <w:p w14:paraId="0441A486">
            <w:pPr>
              <w:kinsoku w:val="0"/>
              <w:autoSpaceDE w:val="0"/>
              <w:autoSpaceDN w:val="0"/>
              <w:adjustRightInd w:val="0"/>
              <w:snapToGrid w:val="0"/>
              <w:spacing w:before="98" w:line="267" w:lineRule="auto"/>
              <w:ind w:left="41" w:right="80" w:firstLine="1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间接能源：生产生活中所使用的能量主要是由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石油、煤炭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等矿物燃料提</w:t>
            </w:r>
            <w:r>
              <w:rPr>
                <w:rFonts w:ascii="宋体" w:hAnsi="宋体" w:eastAsia="宋体" w:cs="宋体"/>
                <w:snapToGrid w:val="0"/>
                <w:color w:val="auto"/>
                <w:spacing w:val="4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lang w:val="en-US" w:eastAsia="en-US" w:bidi="ar-SA"/>
              </w:rPr>
              <w:t>供，来源于动植物转化固定下来的太阳能。</w:t>
            </w:r>
          </w:p>
        </w:tc>
      </w:tr>
      <w:tr w14:paraId="19A37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905" w:type="dxa"/>
            <w:vMerge w:val="continue"/>
            <w:tcBorders>
              <w:top w:val="nil"/>
            </w:tcBorders>
            <w:vAlign w:val="top"/>
          </w:tcPr>
          <w:p w14:paraId="35F3980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6633" w:type="dxa"/>
            <w:vAlign w:val="top"/>
          </w:tcPr>
          <w:p w14:paraId="02874B08">
            <w:pPr>
              <w:kinsoku w:val="0"/>
              <w:autoSpaceDE w:val="0"/>
              <w:autoSpaceDN w:val="0"/>
              <w:adjustRightInd w:val="0"/>
              <w:snapToGrid w:val="0"/>
              <w:spacing w:before="100" w:line="228" w:lineRule="auto"/>
              <w:ind w:left="5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直接能源：如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太阳能热水器、太阳灶、太阳能发电站</w:t>
            </w:r>
          </w:p>
        </w:tc>
      </w:tr>
      <w:tr w14:paraId="3885E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905" w:type="dxa"/>
            <w:vAlign w:val="top"/>
          </w:tcPr>
          <w:p w14:paraId="6A2C1DE8">
            <w:pPr>
              <w:kinsoku w:val="0"/>
              <w:autoSpaceDE w:val="0"/>
              <w:autoSpaceDN w:val="0"/>
              <w:adjustRightInd w:val="0"/>
              <w:snapToGrid w:val="0"/>
              <w:spacing w:before="103" w:line="230" w:lineRule="auto"/>
              <w:ind w:left="3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6"/>
                <w:kern w:val="0"/>
                <w:sz w:val="21"/>
                <w:szCs w:val="21"/>
                <w:lang w:val="en-US" w:eastAsia="en-US" w:bidi="ar-SA"/>
              </w:rPr>
              <w:t>不利影响</w:t>
            </w:r>
          </w:p>
        </w:tc>
        <w:tc>
          <w:tcPr>
            <w:tcW w:w="6633" w:type="dxa"/>
            <w:vAlign w:val="top"/>
          </w:tcPr>
          <w:p w14:paraId="0E6C87B4">
            <w:pPr>
              <w:kinsoku w:val="0"/>
              <w:autoSpaceDE w:val="0"/>
              <w:autoSpaceDN w:val="0"/>
              <w:adjustRightInd w:val="0"/>
              <w:snapToGrid w:val="0"/>
              <w:spacing w:before="103" w:line="227" w:lineRule="auto"/>
              <w:ind w:left="4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过多的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紫外线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1"/>
                <w:szCs w:val="21"/>
                <w:lang w:val="en-US" w:eastAsia="en-US" w:bidi="ar-SA"/>
              </w:rPr>
              <w:t>会杀伤地球生物</w:t>
            </w:r>
          </w:p>
        </w:tc>
      </w:tr>
    </w:tbl>
    <w:p w14:paraId="23448E6F">
      <w:pPr>
        <w:kinsoku w:val="0"/>
        <w:autoSpaceDE w:val="0"/>
        <w:autoSpaceDN w:val="0"/>
        <w:adjustRightInd w:val="0"/>
        <w:snapToGrid w:val="0"/>
        <w:spacing w:before="96" w:line="219" w:lineRule="auto"/>
        <w:ind w:left="2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3.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影响太阳辐射的因素：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纬度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昼长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地势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天气</w:t>
      </w:r>
    </w:p>
    <w:p w14:paraId="68E279CC">
      <w:pPr>
        <w:widowControl/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02415EC9">
      <w:pPr>
        <w:kinsoku w:val="0"/>
        <w:autoSpaceDE w:val="0"/>
        <w:autoSpaceDN w:val="0"/>
        <w:adjustRightInd w:val="0"/>
        <w:snapToGrid w:val="0"/>
        <w:spacing w:before="79" w:line="219" w:lineRule="auto"/>
        <w:ind w:left="28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简述青藏高原太阳辐射强的原因：</w:t>
      </w:r>
    </w:p>
    <w:p w14:paraId="214A42C7">
      <w:pPr>
        <w:kinsoku w:val="0"/>
        <w:autoSpaceDE w:val="0"/>
        <w:autoSpaceDN w:val="0"/>
        <w:adjustRightInd w:val="0"/>
        <w:snapToGrid w:val="0"/>
        <w:spacing w:before="76" w:line="217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1"/>
          <w:kern w:val="0"/>
          <w:sz w:val="21"/>
          <w:szCs w:val="21"/>
          <w:u w:val="single" w:color="auto"/>
          <w:lang w:val="en-US" w:eastAsia="en-US" w:bidi="ar-SA"/>
        </w:rPr>
        <w:t>①纬度低，太阳高度角大，太阳辐射强。</w:t>
      </w:r>
    </w:p>
    <w:p w14:paraId="5F0E7917">
      <w:pPr>
        <w:kinsoku w:val="0"/>
        <w:autoSpaceDE w:val="0"/>
        <w:autoSpaceDN w:val="0"/>
        <w:adjustRightInd w:val="0"/>
        <w:snapToGrid w:val="0"/>
        <w:spacing w:before="78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②高原地形，海拔高，空气稀薄，大气对太阳辐射削弱作用弱，到达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地面的太阳辐射多；</w:t>
      </w:r>
    </w:p>
    <w:p w14:paraId="555562BD">
      <w:pPr>
        <w:kinsoku w:val="0"/>
        <w:autoSpaceDE w:val="0"/>
        <w:autoSpaceDN w:val="0"/>
        <w:adjustRightInd w:val="0"/>
        <w:snapToGrid w:val="0"/>
        <w:spacing w:before="78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③晴天多，云量少，</w:t>
      </w:r>
      <w:r>
        <w:rPr>
          <w:rFonts w:ascii="宋体" w:hAnsi="宋体" w:eastAsia="宋体" w:cs="宋体"/>
          <w:snapToGrid w:val="0"/>
          <w:color w:val="auto"/>
          <w:spacing w:val="-57"/>
          <w:kern w:val="0"/>
          <w:sz w:val="21"/>
          <w:szCs w:val="21"/>
          <w:u w:val="single" w:color="auto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u w:val="single" w:color="auto"/>
          <w:lang w:val="en-US" w:eastAsia="en-US" w:bidi="ar-SA"/>
        </w:rPr>
        <w:t>日照长，太阳辐射强</w:t>
      </w:r>
    </w:p>
    <w:p w14:paraId="12800B18">
      <w:pPr>
        <w:kinsoku w:val="0"/>
        <w:autoSpaceDE w:val="0"/>
        <w:autoSpaceDN w:val="0"/>
        <w:adjustRightInd w:val="0"/>
        <w:snapToGrid w:val="0"/>
        <w:spacing w:before="78" w:line="219" w:lineRule="auto"/>
        <w:ind w:left="19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5027295</wp:posOffset>
            </wp:positionH>
            <wp:positionV relativeFrom="paragraph">
              <wp:posOffset>240665</wp:posOffset>
            </wp:positionV>
            <wp:extent cx="1278890" cy="1464310"/>
            <wp:effectExtent l="0" t="0" r="16510" b="254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8636" cy="1464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Calibri" w:cs="Calibri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4.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太阳分层及太阳活动</w:t>
      </w:r>
    </w:p>
    <w:p w14:paraId="25BB550C">
      <w:pPr>
        <w:widowControl/>
        <w:kinsoku w:val="0"/>
        <w:autoSpaceDE w:val="0"/>
        <w:autoSpaceDN w:val="0"/>
        <w:adjustRightInd w:val="0"/>
        <w:snapToGrid w:val="0"/>
        <w:spacing w:line="18" w:lineRule="exact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tbl>
      <w:tblPr>
        <w:tblStyle w:val="8"/>
        <w:tblW w:w="7363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5655"/>
      </w:tblGrid>
      <w:tr w14:paraId="53EA42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708" w:type="dxa"/>
            <w:vAlign w:val="top"/>
          </w:tcPr>
          <w:p w14:paraId="752C4FF4">
            <w:pPr>
              <w:kinsoku w:val="0"/>
              <w:autoSpaceDE w:val="0"/>
              <w:autoSpaceDN w:val="0"/>
              <w:adjustRightInd w:val="0"/>
              <w:snapToGrid w:val="0"/>
              <w:spacing w:before="88" w:line="249" w:lineRule="auto"/>
              <w:ind w:left="152" w:right="131" w:hanging="1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太阳大气分层</w:t>
            </w:r>
            <w:r>
              <w:rPr>
                <w:rFonts w:ascii="宋体" w:hAnsi="宋体" w:eastAsia="宋体" w:cs="宋体"/>
                <w:snapToGrid w:val="0"/>
                <w:color w:val="auto"/>
                <w:spacing w:val="1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（由里到外）</w:t>
            </w:r>
          </w:p>
        </w:tc>
        <w:tc>
          <w:tcPr>
            <w:tcW w:w="5655" w:type="dxa"/>
            <w:vAlign w:val="top"/>
          </w:tcPr>
          <w:p w14:paraId="69869736">
            <w:pPr>
              <w:kinsoku w:val="0"/>
              <w:autoSpaceDE w:val="0"/>
              <w:autoSpaceDN w:val="0"/>
              <w:adjustRightInd w:val="0"/>
              <w:snapToGrid w:val="0"/>
              <w:spacing w:before="198" w:line="219" w:lineRule="auto"/>
              <w:ind w:left="1752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太阳活动的主要类型</w:t>
            </w:r>
          </w:p>
        </w:tc>
      </w:tr>
      <w:tr w14:paraId="2F79A3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708" w:type="dxa"/>
            <w:vAlign w:val="top"/>
          </w:tcPr>
          <w:p w14:paraId="4E8A1D33">
            <w:pPr>
              <w:kinsoku w:val="0"/>
              <w:autoSpaceDE w:val="0"/>
              <w:autoSpaceDN w:val="0"/>
              <w:adjustRightInd w:val="0"/>
              <w:snapToGrid w:val="0"/>
              <w:spacing w:before="86" w:line="219" w:lineRule="auto"/>
              <w:ind w:left="39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Calibri" w:hAnsi="Calibri" w:eastAsia="Calibri" w:cs="Calibri"/>
                <w:snapToGrid w:val="0"/>
                <w:color w:val="auto"/>
                <w:spacing w:val="-4"/>
                <w:kern w:val="0"/>
                <w:sz w:val="21"/>
                <w:szCs w:val="21"/>
                <w:lang w:val="en-US" w:eastAsia="en-US" w:bidi="ar-SA"/>
              </w:rPr>
              <w:t>A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15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光球层</w:t>
            </w:r>
          </w:p>
        </w:tc>
        <w:tc>
          <w:tcPr>
            <w:tcW w:w="5655" w:type="dxa"/>
            <w:vAlign w:val="top"/>
          </w:tcPr>
          <w:p w14:paraId="2A00BC71">
            <w:pPr>
              <w:kinsoku w:val="0"/>
              <w:autoSpaceDE w:val="0"/>
              <w:autoSpaceDN w:val="0"/>
              <w:adjustRightInd w:val="0"/>
              <w:snapToGrid w:val="0"/>
              <w:spacing w:before="86" w:line="219" w:lineRule="auto"/>
              <w:ind w:left="11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黑子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lang w:val="en-US" w:eastAsia="en-US" w:bidi="ar-SA"/>
              </w:rPr>
              <w:t>。周期：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11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18"/>
                <w:w w:val="101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年</w:t>
            </w:r>
          </w:p>
        </w:tc>
      </w:tr>
      <w:tr w14:paraId="0920B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08" w:type="dxa"/>
            <w:vAlign w:val="top"/>
          </w:tcPr>
          <w:p w14:paraId="37EA4EA1">
            <w:pPr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ind w:left="4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Calibri" w:hAnsi="Calibri" w:eastAsia="Calibri" w:cs="Calibri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B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22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色球层</w:t>
            </w:r>
          </w:p>
        </w:tc>
        <w:tc>
          <w:tcPr>
            <w:tcW w:w="5655" w:type="dxa"/>
            <w:vAlign w:val="top"/>
          </w:tcPr>
          <w:p w14:paraId="634AA6F4">
            <w:pPr>
              <w:kinsoku w:val="0"/>
              <w:autoSpaceDE w:val="0"/>
              <w:autoSpaceDN w:val="0"/>
              <w:adjustRightInd w:val="0"/>
              <w:snapToGrid w:val="0"/>
              <w:spacing w:before="84" w:line="219" w:lineRule="auto"/>
              <w:ind w:left="1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日珥和耀斑</w:t>
            </w:r>
            <w:r>
              <w:rPr>
                <w:rFonts w:ascii="宋体" w:hAnsi="宋体" w:eastAsia="宋体" w:cs="宋体"/>
                <w:snapToGrid w:val="0"/>
                <w:color w:val="auto"/>
                <w:spacing w:val="-9"/>
                <w:kern w:val="0"/>
                <w:sz w:val="21"/>
                <w:szCs w:val="21"/>
                <w:lang w:val="en-US" w:eastAsia="en-US" w:bidi="ar-SA"/>
              </w:rPr>
              <w:t>。</w:t>
            </w:r>
          </w:p>
        </w:tc>
      </w:tr>
      <w:tr w14:paraId="76322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8" w:type="dxa"/>
            <w:vAlign w:val="top"/>
          </w:tcPr>
          <w:p w14:paraId="37400D63">
            <w:pPr>
              <w:kinsoku w:val="0"/>
              <w:autoSpaceDE w:val="0"/>
              <w:autoSpaceDN w:val="0"/>
              <w:adjustRightInd w:val="0"/>
              <w:snapToGrid w:val="0"/>
              <w:spacing w:before="87" w:line="219" w:lineRule="auto"/>
              <w:ind w:left="40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Calibri" w:hAnsi="Calibri" w:eastAsia="Calibri" w:cs="Calibri"/>
                <w:snapToGrid w:val="0"/>
                <w:color w:val="auto"/>
                <w:spacing w:val="-16"/>
                <w:kern w:val="0"/>
                <w:sz w:val="21"/>
                <w:szCs w:val="21"/>
                <w:lang w:val="en-US" w:eastAsia="en-US" w:bidi="ar-SA"/>
              </w:rPr>
              <w:t>C</w:t>
            </w:r>
            <w:r>
              <w:rPr>
                <w:rFonts w:ascii="Calibri" w:hAnsi="Calibri" w:eastAsia="Calibri" w:cs="Calibri"/>
                <w:snapToGrid w:val="0"/>
                <w:color w:val="auto"/>
                <w:spacing w:val="5"/>
                <w:kern w:val="0"/>
                <w:sz w:val="21"/>
                <w:szCs w:val="21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69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日冕层</w:t>
            </w:r>
          </w:p>
        </w:tc>
        <w:tc>
          <w:tcPr>
            <w:tcW w:w="5655" w:type="dxa"/>
            <w:vAlign w:val="top"/>
          </w:tcPr>
          <w:p w14:paraId="550FFAA4">
            <w:pPr>
              <w:kinsoku w:val="0"/>
              <w:autoSpaceDE w:val="0"/>
              <w:autoSpaceDN w:val="0"/>
              <w:adjustRightInd w:val="0"/>
              <w:snapToGrid w:val="0"/>
              <w:spacing w:before="86" w:line="220" w:lineRule="auto"/>
              <w:ind w:left="1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lang w:val="en-US" w:eastAsia="en-US" w:bidi="ar-SA"/>
              </w:rPr>
              <w:t>日冕物质抛射、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-6"/>
                <w:kern w:val="0"/>
                <w:sz w:val="21"/>
                <w:szCs w:val="21"/>
                <w:u w:val="single" w:color="auto"/>
                <w:lang w:val="en-US" w:eastAsia="en-US" w:bidi="ar-SA"/>
              </w:rPr>
              <w:t>太阳风</w:t>
            </w:r>
          </w:p>
        </w:tc>
      </w:tr>
    </w:tbl>
    <w:p w14:paraId="410DC4A1">
      <w:pPr>
        <w:kinsoku w:val="0"/>
        <w:autoSpaceDE w:val="0"/>
        <w:autoSpaceDN w:val="0"/>
        <w:adjustRightInd w:val="0"/>
        <w:snapToGrid w:val="0"/>
        <w:spacing w:before="68" w:line="220" w:lineRule="auto"/>
        <w:ind w:left="2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5.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太阳活动对地球的影响：</w:t>
      </w:r>
    </w:p>
    <w:p w14:paraId="18963A41">
      <w:pPr>
        <w:kinsoku w:val="0"/>
        <w:autoSpaceDE w:val="0"/>
        <w:autoSpaceDN w:val="0"/>
        <w:adjustRightInd w:val="0"/>
        <w:snapToGrid w:val="0"/>
        <w:spacing w:before="89" w:line="217" w:lineRule="auto"/>
        <w:ind w:left="2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①当太阳活动增强时，会扰动地球的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磁场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和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大气层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，产生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磁暴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极光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（两极地区）等现象；</w:t>
      </w:r>
    </w:p>
    <w:p w14:paraId="20E75ECF">
      <w:pPr>
        <w:kinsoku w:val="0"/>
        <w:autoSpaceDE w:val="0"/>
        <w:autoSpaceDN w:val="0"/>
        <w:adjustRightInd w:val="0"/>
        <w:snapToGrid w:val="0"/>
        <w:spacing w:before="92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②干扰大气中的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电离层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，使地球上无线电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u w:val="single" w:color="auto"/>
          <w:lang w:val="en-US" w:eastAsia="en-US" w:bidi="ar-SA"/>
        </w:rPr>
        <w:t>短波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>通讯受到影响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，甚至短暂的中断；</w:t>
      </w:r>
    </w:p>
    <w:p w14:paraId="32828492">
      <w:pPr>
        <w:kinsoku w:val="0"/>
        <w:autoSpaceDE w:val="0"/>
        <w:autoSpaceDN w:val="0"/>
        <w:adjustRightInd w:val="0"/>
        <w:snapToGrid w:val="0"/>
        <w:spacing w:before="92" w:line="217" w:lineRule="auto"/>
        <w:ind w:left="2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③对地球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u w:val="single" w:color="auto"/>
          <w:lang w:val="en-US" w:eastAsia="en-US" w:bidi="ar-SA"/>
        </w:rPr>
        <w:t>天气、气候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1"/>
          <w:szCs w:val="21"/>
          <w:lang w:val="en-US" w:eastAsia="en-US" w:bidi="ar-SA"/>
        </w:rPr>
        <w:t>产生一定的影响。</w:t>
      </w:r>
    </w:p>
    <w:p w14:paraId="78F5EC26">
      <w:pPr>
        <w:kinsoku w:val="0"/>
        <w:autoSpaceDE w:val="0"/>
        <w:autoSpaceDN w:val="0"/>
        <w:adjustRightInd w:val="0"/>
        <w:snapToGrid w:val="0"/>
        <w:spacing w:before="93" w:line="219" w:lineRule="auto"/>
        <w:ind w:left="23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b/>
          <w:bCs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判断题</w:t>
      </w:r>
    </w:p>
    <w:p w14:paraId="0AD6C420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/>
        <w:jc w:val="left"/>
        <w:textAlignment w:val="baseline"/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我国太阳辐射能最贫乏的省区为四川省</w:t>
      </w:r>
      <w:r>
        <w:rPr>
          <w:rFonts w:ascii="宋体" w:hAnsi="宋体" w:eastAsia="宋体" w:cs="宋体"/>
          <w:snapToGrid w:val="0"/>
          <w:color w:val="auto"/>
          <w:spacing w:val="1"/>
          <w:kern w:val="0"/>
          <w:sz w:val="21"/>
          <w:szCs w:val="21"/>
          <w:lang w:val="en-US" w:eastAsia="en-US" w:bidi="ar-SA"/>
        </w:rPr>
        <w:t xml:space="preserve">           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( √</w:t>
      </w:r>
      <w:r>
        <w:rPr>
          <w:rFonts w:ascii="宋体" w:hAnsi="宋体" w:eastAsia="宋体" w:cs="宋体"/>
          <w:snapToGrid w:val="0"/>
          <w:color w:val="auto"/>
          <w:spacing w:val="-8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)</w:t>
      </w:r>
    </w:p>
    <w:p w14:paraId="5D4B7BE7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 w:leftChars="0" w:firstLine="0" w:firstLineChars="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地热发电站所利用的能源最终来自于太阳辐射       (</w:t>
      </w:r>
      <w:r>
        <w:rPr>
          <w:rFonts w:ascii="宋体" w:hAnsi="宋体" w:eastAsia="宋体" w:cs="宋体"/>
          <w:snapToGrid w:val="0"/>
          <w:color w:val="auto"/>
          <w:spacing w:val="-4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-8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)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</w:p>
    <w:p w14:paraId="72EDE52D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 w:leftChars="0" w:firstLine="0" w:firstLineChars="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1"/>
          <w:szCs w:val="21"/>
          <w:lang w:val="en-US" w:eastAsia="en-US" w:bidi="ar-SA"/>
        </w:rPr>
        <w:t xml:space="preserve">太阳的主要成分是氢和氮。                  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 xml:space="preserve">     (</w:t>
      </w:r>
      <w:r>
        <w:rPr>
          <w:rFonts w:ascii="宋体" w:hAnsi="宋体" w:eastAsia="宋体" w:cs="宋体"/>
          <w:snapToGrid w:val="0"/>
          <w:color w:val="auto"/>
          <w:spacing w:val="-4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-8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1"/>
          <w:szCs w:val="21"/>
          <w:lang w:val="en-US" w:eastAsia="en-US" w:bidi="ar-SA"/>
        </w:rPr>
        <w:t>)</w:t>
      </w:r>
      <w:r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  <w:t xml:space="preserve"> </w:t>
      </w:r>
    </w:p>
    <w:p w14:paraId="09729B0A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8" w:line="219" w:lineRule="auto"/>
        <w:ind w:left="25" w:leftChars="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1"/>
          <w:szCs w:val="21"/>
          <w:lang w:val="en-US" w:eastAsia="en-US" w:bidi="ar-SA"/>
        </w:rPr>
      </w:pPr>
      <w:r>
        <w:rPr>
          <w:rFonts w:ascii="Calibri" w:hAnsi="Calibri" w:eastAsia="Calibri" w:cs="Calibri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>9.</w:t>
      </w:r>
      <w:r>
        <w:rPr>
          <w:rFonts w:ascii="宋体" w:hAnsi="宋体" w:eastAsia="宋体" w:cs="宋体"/>
          <w:snapToGrid w:val="0"/>
          <w:color w:val="auto"/>
          <w:spacing w:val="-4"/>
          <w:kern w:val="0"/>
          <w:sz w:val="21"/>
          <w:szCs w:val="21"/>
          <w:lang w:val="en-US" w:eastAsia="en-US" w:bidi="ar-SA"/>
        </w:rPr>
        <w:t xml:space="preserve">地球各纬度地带接受的太阳辐射能量相同。        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 xml:space="preserve"> (</w:t>
      </w:r>
      <w:r>
        <w:rPr>
          <w:rFonts w:ascii="宋体" w:hAnsi="宋体" w:eastAsia="宋体" w:cs="宋体"/>
          <w:snapToGrid w:val="0"/>
          <w:color w:val="auto"/>
          <w:spacing w:val="-42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×</w:t>
      </w:r>
      <w:r>
        <w:rPr>
          <w:rFonts w:ascii="宋体" w:hAnsi="宋体" w:eastAsia="宋体" w:cs="宋体"/>
          <w:snapToGrid w:val="0"/>
          <w:color w:val="auto"/>
          <w:spacing w:val="-85"/>
          <w:kern w:val="0"/>
          <w:sz w:val="21"/>
          <w:szCs w:val="21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1"/>
          <w:szCs w:val="21"/>
          <w:lang w:val="en-US" w:eastAsia="en-US" w:bidi="ar-SA"/>
        </w:rPr>
        <w:t>)</w:t>
      </w:r>
    </w:p>
    <w:p w14:paraId="2E3991B4"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EFB5EC"/>
    <w:multiLevelType w:val="singleLevel"/>
    <w:tmpl w:val="89EFB5EC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8B184A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4A5552C"/>
    <w:rsid w:val="66136A8F"/>
    <w:rsid w:val="67191B1C"/>
    <w:rsid w:val="67B916F6"/>
    <w:rsid w:val="6808013C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738</Words>
  <Characters>747</Characters>
  <Lines>0</Lines>
  <Paragraphs>0</Paragraphs>
  <TotalTime>1</TotalTime>
  <ScaleCrop>false</ScaleCrop>
  <LinksUpToDate>false</LinksUpToDate>
  <CharactersWithSpaces>828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2025-06-04T09:30:11Z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62541AB9E8EB4C7FAC65047CBE32DDD8_13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