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E63BD">
      <w:pPr>
        <w:numPr>
          <w:ilvl w:val="0"/>
          <w:numId w:val="0"/>
        </w:numPr>
        <w:jc w:val="center"/>
        <w:rPr>
          <w:rFonts w:hint="default" w:ascii="宋体" w:hAnsi="宋体" w:eastAsia="宋体" w:cs="宋体"/>
          <w:b/>
          <w:bCs/>
          <w:kern w:val="2"/>
          <w:sz w:val="22"/>
          <w:szCs w:val="22"/>
          <w:lang w:val="en-US" w:eastAsia="zh-CN" w:bidi="ar-SA"/>
        </w:rPr>
      </w:pPr>
      <w:bookmarkStart w:id="1" w:name="_GoBack"/>
      <w:bookmarkEnd w:id="1"/>
      <w:r>
        <w:rPr>
          <w:rFonts w:hint="eastAsia" w:ascii="宋体" w:hAnsi="宋体" w:eastAsia="宋体" w:cs="宋体"/>
          <w:b/>
          <w:bCs/>
          <w:kern w:val="2"/>
          <w:sz w:val="22"/>
          <w:szCs w:val="22"/>
          <w:lang w:val="en-US" w:eastAsia="zh-CN" w:bidi="ar-SA"/>
        </w:rPr>
        <w:t>第3章 有机合成及其应用 合成高分子化合物</w:t>
      </w:r>
    </w:p>
    <w:p w14:paraId="6A68E7E5">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专题5 有机合成与推断</w:t>
      </w:r>
    </w:p>
    <w:p w14:paraId="5469D013">
      <w:pPr>
        <w:pStyle w:val="2"/>
        <w:tabs>
          <w:tab w:val="left" w:pos="3402"/>
        </w:tabs>
        <w:snapToGrid w:val="0"/>
        <w:spacing w:line="240" w:lineRule="auto"/>
        <w:rPr>
          <w:b/>
          <w:bCs/>
        </w:rPr>
      </w:pPr>
      <w:r>
        <w:rPr>
          <w:b/>
          <w:bCs/>
        </w:rPr>
        <w:t>一、正合成分析法</w:t>
      </w:r>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ascii="Times New Roman" w:hAnsi="Times New Roman" w:cs="Times New Roman"/>
          <w:color w:val="3A00FF"/>
          <w:u w:val="single"/>
        </w:rPr>
        <w:t>碳骨架</w:t>
      </w:r>
      <w:r>
        <w:rPr>
          <w:rFonts w:ascii="Times New Roman" w:hAnsi="Times New Roman" w:cs="Times New Roman"/>
        </w:rPr>
        <w:t>构建和</w:t>
      </w:r>
      <w:r>
        <w:rPr>
          <w:rFonts w:ascii="Times New Roman" w:hAnsi="Times New Roman" w:cs="Times New Roman"/>
          <w:color w:val="3A00FF"/>
          <w:u w:val="single"/>
        </w:rPr>
        <w:t>官能团</w:t>
      </w:r>
      <w:r>
        <w:rPr>
          <w:rFonts w:ascii="Times New Roman" w:hAnsi="Times New Roman" w:cs="Times New Roman"/>
        </w:rPr>
        <w:t>转化基本方法的基础上，进行合理的设计与选择，以较低的</w:t>
      </w:r>
      <w:r>
        <w:rPr>
          <w:rFonts w:ascii="Times New Roman" w:hAnsi="Times New Roman" w:cs="Times New Roman"/>
          <w:color w:val="3A00FF"/>
          <w:u w:val="single"/>
        </w:rPr>
        <w:t>成本</w:t>
      </w:r>
      <w:r>
        <w:rPr>
          <w:rFonts w:ascii="Times New Roman" w:hAnsi="Times New Roman" w:cs="Times New Roman"/>
        </w:rPr>
        <w:t>和较高的</w:t>
      </w:r>
      <w:r>
        <w:rPr>
          <w:rFonts w:ascii="Times New Roman" w:hAnsi="Times New Roman" w:cs="Times New Roman"/>
          <w:color w:val="3A00FF"/>
          <w:u w:val="single"/>
        </w:rPr>
        <w:t>产率</w:t>
      </w:r>
      <w:r>
        <w:rPr>
          <w:rFonts w:ascii="Times New Roman" w:hAnsi="Times New Roman" w:cs="Times New Roman"/>
        </w:rPr>
        <w:t>，通过简便而对</w:t>
      </w:r>
      <w:r>
        <w:rPr>
          <w:rFonts w:ascii="Times New Roman" w:hAnsi="Times New Roman" w:cs="Times New Roman"/>
          <w:color w:val="3A00FF"/>
          <w:u w:val="single"/>
        </w:rPr>
        <w:t>环境友好</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OHC—CHO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HOOC—COOH</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color w:val="3A00FF"/>
          <w:u w:val="single"/>
        </w:rPr>
        <w:drawing>
          <wp:inline distT="0" distB="0" distL="114300" distR="114300">
            <wp:extent cx="504825" cy="364490"/>
            <wp:effectExtent l="0" t="0" r="9525" b="16510"/>
            <wp:docPr id="24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86"/>
                    <pic:cNvPicPr>
                      <a:picLocks noChangeAspect="1"/>
                    </pic:cNvPicPr>
                  </pic:nvPicPr>
                  <pic:blipFill>
                    <a:blip r:embed="rId8"/>
                    <a:stretch>
                      <a:fillRect/>
                    </a:stretch>
                  </pic:blipFill>
                  <pic:spPr>
                    <a:xfrm>
                      <a:off x="0" y="0"/>
                      <a:ext cx="504825"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9"/>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10"/>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1"/>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75030" cy="364490"/>
            <wp:effectExtent l="0" t="0" r="1270" b="16510"/>
            <wp:docPr id="25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90"/>
                    <pic:cNvPicPr>
                      <a:picLocks noChangeAspect="1"/>
                    </pic:cNvPicPr>
                  </pic:nvPicPr>
                  <pic:blipFill>
                    <a:blip r:embed="rId12"/>
                    <a:stretch>
                      <a:fillRect/>
                    </a:stretch>
                  </pic:blipFill>
                  <pic:spPr>
                    <a:xfrm>
                      <a:off x="0" y="0"/>
                      <a:ext cx="87503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656590" cy="364490"/>
            <wp:effectExtent l="0" t="0" r="10160" b="16510"/>
            <wp:docPr id="25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91"/>
                    <pic:cNvPicPr>
                      <a:picLocks noChangeAspect="1"/>
                    </pic:cNvPicPr>
                  </pic:nvPicPr>
                  <pic:blipFill>
                    <a:blip r:embed="rId13"/>
                    <a:stretch>
                      <a:fillRect/>
                    </a:stretch>
                  </pic:blipFill>
                  <pic:spPr>
                    <a:xfrm>
                      <a:off x="0" y="0"/>
                      <a:ext cx="65659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19150" cy="364490"/>
            <wp:effectExtent l="0" t="0" r="0" b="16510"/>
            <wp:docPr id="25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92"/>
                    <pic:cNvPicPr>
                      <a:picLocks noChangeAspect="1"/>
                    </pic:cNvPicPr>
                  </pic:nvPicPr>
                  <pic:blipFill>
                    <a:blip r:embed="rId14"/>
                    <a:stretch>
                      <a:fillRect/>
                    </a:stretch>
                  </pic:blipFill>
                  <pic:spPr>
                    <a:xfrm>
                      <a:off x="0" y="0"/>
                      <a:ext cx="81915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5" r:link="rId16"/>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055A0CC1">
      <w:pPr>
        <w:numPr>
          <w:ilvl w:val="0"/>
          <w:numId w:val="0"/>
        </w:numPr>
        <w:jc w:val="center"/>
        <w:rPr>
          <w:rFonts w:hint="eastAsia"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1DF378F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54BA"/>
    <w:rsid w:val="02663402"/>
    <w:rsid w:val="09814B19"/>
    <w:rsid w:val="115B4B8E"/>
    <w:rsid w:val="14885C9A"/>
    <w:rsid w:val="37CD1CB5"/>
    <w:rsid w:val="3CAE66EF"/>
    <w:rsid w:val="43AC0C17"/>
    <w:rsid w:val="4E636855"/>
    <w:rsid w:val="58C93758"/>
    <w:rsid w:val="590D4746"/>
    <w:rsid w:val="64E77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4-63.TIF" TargetMode="Externa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2025-08-06T01:41:08Z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812C2817EB594C00B6E52AB9C4EC6412_13</vt:lpwstr>
  </property>
</Properties>
</file>