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FF61A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第1章 有机化合物的结构与性质 烃</w:t>
      </w:r>
    </w:p>
    <w:p w14:paraId="73772956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第2节 有机化合物的结构与性质</w:t>
      </w:r>
    </w:p>
    <w:p w14:paraId="278CC71F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课时2 有机化合物的同分异构现象</w:t>
      </w:r>
    </w:p>
    <w:p w14:paraId="1E7F136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同分异构现象和同分异构体</w:t>
      </w:r>
    </w:p>
    <w:p w14:paraId="2392CA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(1)同分异构现象：化合物具有相同的</w:t>
      </w:r>
      <w:r>
        <w:rPr>
          <w:rFonts w:ascii="Times New Roman" w:hAnsi="Times New Roman" w:cs="Times New Roman"/>
          <w:color w:val="0000FF"/>
          <w:u w:val="single"/>
        </w:rPr>
        <w:t>分子式</w:t>
      </w:r>
      <w:r>
        <w:rPr>
          <w:rFonts w:ascii="Times New Roman" w:hAnsi="Times New Roman" w:cs="Times New Roman"/>
        </w:rPr>
        <w:t>，但具有不同</w:t>
      </w:r>
      <w:r>
        <w:rPr>
          <w:rFonts w:ascii="Times New Roman" w:hAnsi="Times New Roman" w:cs="Times New Roman"/>
          <w:color w:val="0000FF"/>
          <w:u w:val="single"/>
        </w:rPr>
        <w:t>结构</w:t>
      </w:r>
      <w:r>
        <w:rPr>
          <w:rFonts w:ascii="Times New Roman" w:hAnsi="Times New Roman" w:cs="Times New Roman"/>
        </w:rPr>
        <w:t>的现象。</w:t>
      </w:r>
    </w:p>
    <w:p w14:paraId="2E284CA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(2)同分异构体：具有</w:t>
      </w:r>
      <w:r>
        <w:rPr>
          <w:rFonts w:ascii="Times New Roman" w:hAnsi="Times New Roman" w:cs="Times New Roman"/>
          <w:color w:val="0000FF"/>
          <w:u w:val="single"/>
        </w:rPr>
        <w:t>同分异构现象</w:t>
      </w:r>
      <w:r>
        <w:rPr>
          <w:rFonts w:ascii="Times New Roman" w:hAnsi="Times New Roman" w:cs="Times New Roman"/>
        </w:rPr>
        <w:t>的化合物的互称。</w:t>
      </w:r>
    </w:p>
    <w:p w14:paraId="6B49A72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(3)特点：一般情况下，有机化合物分子中的</w:t>
      </w:r>
      <w:r>
        <w:rPr>
          <w:rFonts w:ascii="Times New Roman" w:hAnsi="Times New Roman" w:cs="Times New Roman"/>
          <w:color w:val="0000FF"/>
          <w:u w:val="single"/>
        </w:rPr>
        <w:t>碳原子</w:t>
      </w:r>
      <w:r>
        <w:rPr>
          <w:rFonts w:ascii="Times New Roman" w:hAnsi="Times New Roman" w:cs="Times New Roman"/>
        </w:rPr>
        <w:t>数目越多，其同分异构体的数目也</w:t>
      </w:r>
      <w:r>
        <w:rPr>
          <w:rFonts w:ascii="Times New Roman" w:hAnsi="Times New Roman" w:cs="Times New Roman"/>
          <w:color w:val="0000FF"/>
          <w:u w:val="single"/>
        </w:rPr>
        <w:t>越多</w:t>
      </w:r>
      <w:r>
        <w:rPr>
          <w:rFonts w:ascii="Times New Roman" w:hAnsi="Times New Roman" w:cs="Times New Roman"/>
        </w:rPr>
        <w:t>。</w:t>
      </w:r>
    </w:p>
    <w:p w14:paraId="62FAF58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(4)实例：如C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的三种同分异构体：正戊烷</w:t>
      </w:r>
      <w:r>
        <w:rPr>
          <w:rFonts w:ascii="Times New Roman" w:hAnsi="Times New Roman" w:cs="Times New Roman"/>
          <w:color w:val="0000FF"/>
          <w:u w:val="single"/>
        </w:rPr>
        <w:t>CH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u w:val="single"/>
        </w:rPr>
        <w:t>—CH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—CH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—CH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—CH</w:t>
      </w:r>
      <w:r>
        <w:rPr>
          <w:rFonts w:ascii="Times New Roman" w:hAnsi="Times New Roman" w:cs="Times New Roman"/>
          <w:u w:val="single"/>
          <w:vertAlign w:val="subscript"/>
        </w:rPr>
        <w:t>3</w:t>
      </w:r>
      <w:r>
        <w:rPr>
          <w:rFonts w:ascii="Times New Roman" w:hAnsi="Times New Roman" w:cs="Times New Roman"/>
        </w:rPr>
        <w:t>、异戊烷</w:t>
      </w:r>
      <w:r>
        <w:rPr>
          <w:color w:val="0000FF"/>
          <w:u w:val="single"/>
        </w:rPr>
        <w:drawing>
          <wp:inline distT="0" distB="0" distL="114300" distR="114300">
            <wp:extent cx="1021080" cy="431800"/>
            <wp:effectExtent l="0" t="0" r="7620" b="6350"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、新戊烷</w:t>
      </w:r>
      <w:r>
        <w:rPr>
          <w:color w:val="0000FF"/>
          <w:u w:val="single"/>
        </w:rPr>
        <w:drawing>
          <wp:inline distT="0" distB="0" distL="114300" distR="114300">
            <wp:extent cx="807720" cy="645160"/>
            <wp:effectExtent l="0" t="0" r="11430" b="2540"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。三者分子式</w:t>
      </w:r>
      <w:r>
        <w:rPr>
          <w:rFonts w:ascii="Times New Roman" w:hAnsi="Times New Roman" w:cs="Times New Roman"/>
          <w:color w:val="0000FF"/>
          <w:u w:val="single"/>
        </w:rPr>
        <w:t>相同</w:t>
      </w:r>
      <w:r>
        <w:rPr>
          <w:rFonts w:ascii="Times New Roman" w:hAnsi="Times New Roman" w:cs="Times New Roman"/>
        </w:rPr>
        <w:t>，结构</w:t>
      </w:r>
      <w:r>
        <w:rPr>
          <w:rFonts w:ascii="Times New Roman" w:hAnsi="Times New Roman" w:cs="Times New Roman"/>
          <w:color w:val="0000FF"/>
          <w:u w:val="single"/>
        </w:rPr>
        <w:t>不同</w:t>
      </w:r>
      <w:r>
        <w:rPr>
          <w:rFonts w:ascii="Times New Roman" w:hAnsi="Times New Roman" w:cs="Times New Roman"/>
        </w:rPr>
        <w:t>。</w:t>
      </w:r>
    </w:p>
    <w:p w14:paraId="1004BBA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同分异构体的类型</w:t>
      </w:r>
    </w:p>
    <w:p w14:paraId="011ADDB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通用（新教材）\\新建文件夹\\10改.TIF"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54630" cy="1245235"/>
            <wp:effectExtent l="0" t="0" r="7620" b="1206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54630" cy="124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CF67AF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构造异构现象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232"/>
      </w:tblGrid>
      <w:tr w14:paraId="5A02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54E033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异构类别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1C3BD2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实例</w:t>
            </w:r>
          </w:p>
        </w:tc>
      </w:tr>
      <w:tr w14:paraId="3AE59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6352E83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碳架异构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7194DB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1537335" cy="325120"/>
                  <wp:effectExtent l="0" t="0" r="5715" b="17780"/>
                  <wp:docPr id="1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335" cy="32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1026795" cy="583565"/>
                  <wp:effectExtent l="0" t="0" r="1905" b="6985"/>
                  <wp:docPr id="9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795" cy="583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C79D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14:paraId="3B6414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位置异构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31FEEF4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8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1447165" cy="286385"/>
                  <wp:effectExtent l="0" t="0" r="635" b="18415"/>
                  <wp:docPr id="25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16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1346200" cy="286385"/>
                  <wp:effectExtent l="0" t="0" r="6350" b="18415"/>
                  <wp:docPr id="24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EE7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vMerge w:val="continue"/>
            <w:shd w:val="clear" w:color="auto" w:fill="auto"/>
            <w:vAlign w:val="center"/>
          </w:tcPr>
          <w:p w14:paraId="3F00AAA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</w:p>
        </w:tc>
        <w:tc>
          <w:tcPr>
            <w:tcW w:w="7232" w:type="dxa"/>
            <w:shd w:val="clear" w:color="auto" w:fill="auto"/>
            <w:vAlign w:val="center"/>
          </w:tcPr>
          <w:p w14:paraId="565144E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493395" cy="718185"/>
                  <wp:effectExtent l="0" t="0" r="1905" b="5715"/>
                  <wp:docPr id="19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39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488315" cy="791210"/>
                  <wp:effectExtent l="0" t="0" r="6985" b="8890"/>
                  <wp:docPr id="21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315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931545" cy="431800"/>
                  <wp:effectExtent l="0" t="0" r="1905" b="6350"/>
                  <wp:docPr id="22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54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3CE1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45795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官能团异构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106415A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O：</w:t>
            </w:r>
            <w:r>
              <w:rPr>
                <w:u w:val="single"/>
              </w:rPr>
              <w:t xml:space="preserve"> 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802005" cy="718185"/>
                  <wp:effectExtent l="0" t="0" r="17145" b="5715"/>
                  <wp:docPr id="26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0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942340" cy="723900"/>
                  <wp:effectExtent l="0" t="0" r="10160" b="0"/>
                  <wp:docPr id="10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34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F003E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30089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eastAsia="黑体" w:cs="Times New Roman"/>
        </w:rPr>
        <w:t>键线式</w:t>
      </w:r>
    </w:p>
    <w:p w14:paraId="055A0CC1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ascii="Times New Roman" w:hAnsi="Times New Roman" w:cs="Times New Roman"/>
        </w:rPr>
        <w:t>在表示有机化合物的组成和结构时，将</w:t>
      </w:r>
      <w:r>
        <w:rPr>
          <w:rFonts w:ascii="Times New Roman" w:hAnsi="Times New Roman" w:cs="Times New Roman"/>
          <w:color w:val="0000FF"/>
          <w:u w:val="single"/>
        </w:rPr>
        <w:t>碳、氢</w:t>
      </w:r>
      <w:r>
        <w:rPr>
          <w:rFonts w:ascii="Times New Roman" w:hAnsi="Times New Roman" w:cs="Times New Roman"/>
        </w:rPr>
        <w:t>元素符号省略，只表示分子中键的连接情况和</w:t>
      </w:r>
      <w:r>
        <w:rPr>
          <w:rFonts w:ascii="Times New Roman" w:hAnsi="Times New Roman" w:cs="Times New Roman"/>
          <w:color w:val="0000FF"/>
          <w:u w:val="single"/>
        </w:rPr>
        <w:t>官能团</w:t>
      </w:r>
      <w:r>
        <w:rPr>
          <w:rFonts w:ascii="Times New Roman" w:hAnsi="Times New Roman" w:cs="Times New Roman"/>
        </w:rPr>
        <w:t>，每个</w:t>
      </w:r>
      <w:r>
        <w:rPr>
          <w:rFonts w:ascii="Times New Roman" w:hAnsi="Times New Roman" w:cs="Times New Roman"/>
          <w:color w:val="0000FF"/>
          <w:u w:val="single"/>
        </w:rPr>
        <w:t>拐</w:t>
      </w:r>
      <w:r>
        <w:rPr>
          <w:rFonts w:ascii="Times New Roman" w:hAnsi="Times New Roman" w:cs="Times New Roman"/>
        </w:rPr>
        <w:t>点或</w:t>
      </w:r>
      <w:r>
        <w:rPr>
          <w:rFonts w:ascii="Times New Roman" w:hAnsi="Times New Roman" w:cs="Times New Roman"/>
          <w:color w:val="0000FF"/>
          <w:u w:val="single"/>
        </w:rPr>
        <w:t>终</w:t>
      </w:r>
      <w:r>
        <w:rPr>
          <w:rFonts w:ascii="Times New Roman" w:hAnsi="Times New Roman" w:cs="Times New Roman"/>
        </w:rPr>
        <w:t>点均表示有一个</w:t>
      </w:r>
      <w:r>
        <w:rPr>
          <w:rFonts w:ascii="Times New Roman" w:hAnsi="Times New Roman" w:cs="Times New Roman"/>
          <w:color w:val="0000FF"/>
          <w:u w:val="single"/>
        </w:rPr>
        <w:t>碳原子</w:t>
      </w:r>
      <w:r>
        <w:rPr>
          <w:rFonts w:ascii="Times New Roman" w:hAnsi="Times New Roman" w:cs="Times New Roman"/>
        </w:rPr>
        <w:t>，这样得到的式子称为</w:t>
      </w:r>
      <w:r>
        <w:rPr>
          <w:rFonts w:ascii="Times New Roman" w:hAnsi="Times New Roman" w:cs="Times New Roman"/>
          <w:color w:val="0000FF"/>
          <w:u w:val="single"/>
        </w:rPr>
        <w:t>键线式</w:t>
      </w:r>
      <w:r>
        <w:rPr>
          <w:rFonts w:ascii="Times New Roman" w:hAnsi="Times New Roman" w:cs="Times New Roman"/>
        </w:rPr>
        <w:t>。例如：丙烯可表示为</w:t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 INCLUDEPICTURE "E:\\苏德亭\\苏德亭2022\\同步\\化学 人教版 选择性必修3 通用（新教材）\\新建文件夹\\10+.TIF" \* MERGEFORMAT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"E:\\苏德亭\\苏德亭2022\\同步\\化学 人教版 选择性必修3 通用（新教材）\\新建文件夹\\10+.TIF"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"E:\\苏德亭\\苏德亭2022\\同步\\化学 人教版 选择性必修3 通用（新教材）\\新建文件夹\\10+.TIF"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"E:\\苏德亭\\苏德亭2022\\同步\\化学 人教版 选择性必修3 通用（新教材）\\新建文件夹\\10+.TIF"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"E:\\苏德亭\\苏德亭2022\\同步\\成盘\\化学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"\\\\苏德亭\\e\\苏德亭\\苏德亭2022\\同步\\成盘\\化学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"\\\\苏德亭\\e\\苏德亭\\苏德亭2022\\同步\\成盘\\化学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"\\\\苏德亭\\e\\苏德亭\\苏德亭2022\\同步\\成盘\\化学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"\\\\苏德亭\\e\\苏德亭\\苏德亭2022\\同步\\成盘\\化学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drawing>
          <wp:inline distT="0" distB="0" distL="114300" distR="114300">
            <wp:extent cx="521970" cy="201930"/>
            <wp:effectExtent l="0" t="0" r="11430" b="7620"/>
            <wp:docPr id="2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197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</w:rPr>
        <w:t>，乙醇可表示为</w:t>
      </w:r>
      <w:r>
        <w:rPr>
          <w:color w:val="0000FF"/>
          <w:u w:val="single"/>
        </w:rPr>
        <w:drawing>
          <wp:inline distT="0" distB="0" distL="114300" distR="114300">
            <wp:extent cx="594360" cy="291465"/>
            <wp:effectExtent l="0" t="0" r="15240" b="13335"/>
            <wp:docPr id="1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29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115B4B8E"/>
    <w:rsid w:val="14885C9A"/>
    <w:rsid w:val="1814395C"/>
    <w:rsid w:val="1A7F3E2A"/>
    <w:rsid w:val="3CAE66EF"/>
    <w:rsid w:val="43AC0C17"/>
    <w:rsid w:val="4E636855"/>
    <w:rsid w:val="58C93758"/>
    <w:rsid w:val="590D4746"/>
    <w:rsid w:val="64E7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10&#25913;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10+.TIF" TargetMode="Externa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386</Characters>
  <Lines>0</Lines>
  <Paragraphs>0</Paragraphs>
  <TotalTime>0</TotalTime>
  <ScaleCrop>false</ScaleCrop>
  <LinksUpToDate>false</LinksUpToDate>
  <CharactersWithSpaces>391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2025-08-06T01:48:50Z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A5285DF95C6C4A7B97E7F2B1CF01490D_13</vt:lpwstr>
  </property>
</Properties>
</file>