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4A16C">
      <w:pPr>
        <w:spacing w:after="0" w:line="360" w:lineRule="auto"/>
        <w:jc w:val="center"/>
        <w:rPr>
          <w:rFonts w:ascii="Times New Roman" w:hAnsi="Times New Roman" w:eastAsia="宋体" w:cs="Times New Roman"/>
          <w:b/>
          <w:sz w:val="24"/>
          <w:szCs w:val="32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4.2.5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 xml:space="preserve"> 正态分布</w:t>
      </w:r>
    </w:p>
    <w:p w14:paraId="5FF61A0B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1.正态曲线</w:t>
      </w:r>
    </w:p>
    <w:p w14:paraId="3DA82155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ascii="Calibri" w:hAnsi="Calibri" w:eastAsia="宋体" w:cs="Times New Roman"/>
          <w:position w:val="-28"/>
          <w:sz w:val="21"/>
          <w:u w:val="none"/>
          <w14:ligatures w14:val="none"/>
        </w:rPr>
        <w:object>
          <v:shape id="_x0000_i1025" o:spt="75" alt="eqId4fe7d5809da02c15a43a0e9a898b9086" type="#_x0000_t75" style="height:33.5pt;width:131.0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对应的图象称为正态曲线，其中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6" o:spt="75" alt="eqId7ad39768ebe8d7a3a0fd09efe7e200ad" type="#_x0000_t75" style="height:11.7pt;width:18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171D28FD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2.正态曲线的性质</w:t>
      </w:r>
    </w:p>
    <w:p w14:paraId="27290330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（1）正态曲线关于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8" o:spt="75" alt="eqId7ad39768ebe8d7a3a0fd09efe7e200ad" type="#_x0000_t75" style="height:11.7pt;width:26.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对称（即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9" o:spt="75" alt="eqId7ad39768ebe8d7a3a0fd09efe7e200ad" type="#_x0000_t75" style="height:11.7pt;width:10.5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决定正态曲线对称轴的位置），具有中间高、两边低的特点；</w:t>
      </w:r>
    </w:p>
    <w:p w14:paraId="5DD6405F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（2）正态曲线与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x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轴所围成的图形面积为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 xml:space="preserve">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；</w:t>
      </w:r>
    </w:p>
    <w:p w14:paraId="688A44C9">
      <w:pPr>
        <w:spacing w:after="0" w:line="360" w:lineRule="auto"/>
        <w:jc w:val="both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（3）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0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决定正态曲线的“胖瘦”：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1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越大，说明标准差越大，数据的集中程度越弱，曲线越“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”；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32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越小，说明标准差越小，数据的集中程度越强，曲线越“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”.</w:t>
      </w:r>
    </w:p>
    <w:p w14:paraId="66215811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.正态分布</w:t>
      </w:r>
    </w:p>
    <w:p w14:paraId="283C67FB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一般地，如果随机变量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3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20" o:title="eqIdf022950e0faa45b617d497b01b5292b9"/>
            <o:lock v:ext="edit" aspectratio="t"/>
            <w10:wrap type="none"/>
            <w10:anchorlock/>
          </v:shape>
          <o:OLEObject Type="Embed" ProgID="Equation.DSMT4" ShapeID="_x0000_i1033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落在区间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4" o:spt="75" alt="eqId7ad39768ebe8d7a3a0fd09efe7e200ad" type="#_x0000_t75" style="height:18pt;width:24.5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 xml:space="preserve">内的概率，总是等于 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5" o:spt="75" alt="eqId4fe7d5809da02c15a43a0e9a898b9086" type="#_x0000_t75" style="height:16.35pt;width:33.4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对应的正态曲线与x轴在区间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6" o:spt="75" alt="eqId7ad39768ebe8d7a3a0fd09efe7e200ad" type="#_x0000_t75" style="height:18pt;width:24.5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内围成的面积，则称X服从参数为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7" o:spt="75" alt="eqId4fe7d5809da02c15a43a0e9a898b9086" type="#_x0000_t75" style="height:11.2pt;width:10.5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与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8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的正态分布，记作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9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30" o:title="eqId1290917c2c835b61384480b335cc1d13"/>
            <o:lock v:ext="edit" aspectratio="t"/>
            <w10:wrap type="none"/>
            <w10:anchorlock/>
          </v:shape>
          <o:OLEObject Type="Embed" ProgID="Equation.DSMT4" ShapeID="_x0000_i1039" DrawAspect="Content" ObjectID="_1468075738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，此时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40" o:spt="75" alt="eqId4fe7d5809da02c15a43a0e9a898b9086" type="#_x0000_t75" style="height:16.35pt;width:33.4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称为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41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20" o:title="eqIdf022950e0faa45b617d497b01b5292b9"/>
            <o:lock v:ext="edit" aspectratio="t"/>
            <w10:wrap type="none"/>
            <w10:anchorlock/>
          </v:shape>
          <o:OLEObject Type="Embed" ProgID="Equation.DSMT4" ShapeID="_x0000_i1041" DrawAspect="Content" ObjectID="_1468075740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的概率密度函数。</w:t>
      </w:r>
    </w:p>
    <w:p w14:paraId="2369C37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正态分布的期望与方差</w:t>
      </w:r>
    </w:p>
    <w:p w14:paraId="2B7CF304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2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30" o:title="eqId1290917c2c835b61384480b335cc1d13"/>
            <o:lock v:ext="edit" aspectratio="t"/>
            <w10:wrap type="none"/>
            <w10:anchorlock/>
          </v:shape>
          <o:OLEObject Type="Embed" ProgID="Equation.DSMT4" ShapeID="_x0000_i1042" DrawAspect="Content" ObjectID="_1468075741" r:id="rId3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，则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3" o:spt="75" alt="eqId6812c52ce5f20e8421d4908676fee6de" type="#_x0000_t75" style="height:14.1pt;width:35.1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4" o:spt="75" alt="eqId7850958ce57262aca3f3aece8b488a39" type="#_x0000_t75" style="height:13.3pt;width:32.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．</w:t>
      </w:r>
    </w:p>
    <w:p w14:paraId="7383B62B">
      <w:pPr>
        <w:spacing w:after="0" w:line="360" w:lineRule="auto"/>
        <w:textAlignment w:val="center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5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3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原则</w:t>
      </w:r>
    </w:p>
    <w:p w14:paraId="1EF08809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（1）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6" o:spt="75" alt="eqId256181dd02e41f3a9eadf1de097f472e" type="#_x0000_t75" style="height:13.15pt;width:117.8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3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；</w:t>
      </w:r>
    </w:p>
    <w:p w14:paraId="0C9F70DA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（2）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7" o:spt="75" alt="eqId0cee36a73c750c9229a4a4f4683cbcd3" type="#_x0000_t75" style="height:13.75pt;width:143.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4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；</w:t>
      </w:r>
    </w:p>
    <w:p w14:paraId="5BB91BC8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（3）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48" o:spt="75" alt="eqIdb8978e75d27c4ccd0b211326ac932e17" type="#_x0000_t75" style="height:13.75pt;width:142.5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4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．</w:t>
      </w:r>
    </w:p>
    <w:p w14:paraId="6C8DA6BA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6.标准正态分布</w:t>
      </w:r>
    </w:p>
    <w:p w14:paraId="0CFCD4E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当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7ad39768ebe8d7a3a0fd09efe7e200ad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46" o:title="eqId7ad39768ebe8d7a3a0fd09efe7e200ad"/>
            <o:lock v:ext="edit" aspectratio="t"/>
            <w10:wrap type="none"/>
            <w10:anchorlock/>
          </v:shape>
          <o:OLEObject Type="Embed" ProgID="Equation.DSMT4" ShapeID="_x0000_i1049" DrawAspect="Content" ObjectID="_1468075748" r:id="rId4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b6095d3cc6af6cc00646493bcfeda216" type="#_x0000_t75" style="height:12.5pt;width:24.75pt;" o:ole="t" filled="f" o:preferrelative="t" stroked="f" coordsize="21600,21600">
            <v:path/>
            <v:fill on="f" focussize="0,0"/>
            <v:stroke on="f" joinstyle="miter"/>
            <v:imagedata r:id="rId48" o:title="eqIdb6095d3cc6af6cc00646493bcfeda216"/>
            <o:lock v:ext="edit" aspectratio="t"/>
            <w10:wrap type="none"/>
            <w10:anchorlock/>
          </v:shape>
          <o:OLEObject Type="Embed" ProgID="Equation.DSMT4" ShapeID="_x0000_i1050" DrawAspect="Content" ObjectID="_1468075749" r:id="rId4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的正态分布称为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2A6C70C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1D2FB87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．已知正态分布密度函数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ffc9b4ca59682aed7ca902c0094b634c" type="#_x0000_t75" style="height:32.55pt;width:71.35pt;" o:ole="t" filled="f" o:preferrelative="t" stroked="f" coordsize="21600,21600">
            <v:path/>
            <v:fill on="f" focussize="0,0"/>
            <v:stroke on="f" joinstyle="miter"/>
            <v:imagedata r:id="rId50" o:title="eqIdffc9b4ca59682aed7ca902c0094b634c"/>
            <o:lock v:ext="edit" aspectratio="t"/>
            <w10:wrap type="none"/>
            <w10:anchorlock/>
          </v:shape>
          <o:OLEObject Type="Embed" ProgID="Equation.DSMT4" ShapeID="_x0000_i1051" DrawAspect="Content" ObjectID="_1468075750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c4166972dec0aa3e8694a44eeb941a08" type="#_x0000_t75" style="height:12.5pt;width:25.35pt;" o:ole="t" filled="f" o:preferrelative="t" stroked="f" coordsize="21600,21600">
            <v:path/>
            <v:fill on="f" focussize="0,0"/>
            <v:stroke on="f" joinstyle="miter"/>
            <v:imagedata r:id="rId52" o:title="eqIdc4166972dec0aa3e8694a44eeb941a08"/>
            <o:lock v:ext="edit" aspectratio="t"/>
            <w10:wrap type="none"/>
            <w10:anchorlock/>
          </v:shape>
          <o:OLEObject Type="Embed" ProgID="Equation.DSMT4" ShapeID="_x0000_i1052" DrawAspect="Content" ObjectID="_1468075751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97dc0c4d9a68ca8ce797958f9084fd4e" type="#_x0000_t75" style="height:11.9pt;width:20.95pt;" o:ole="t" filled="f" o:preferrelative="t" stroked="f" coordsize="21600,21600">
            <v:path/>
            <v:fill on="f" focussize="0,0"/>
            <v:stroke on="f" joinstyle="miter"/>
            <v:imagedata r:id="rId54" o:title="eqId97dc0c4d9a68ca8ce797958f9084fd4e"/>
            <o:lock v:ext="edit" aspectratio="t"/>
            <w10:wrap type="none"/>
            <w10:anchorlock/>
          </v:shape>
          <o:OLEObject Type="Embed" ProgID="Equation.DSMT4" ShapeID="_x0000_i1053" DrawAspect="Content" ObjectID="_1468075752" r:id="rId5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分别是（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AC3B6B2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A．0和4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B．0和2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C．0和8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D．0和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cf298f00799cbf34b4db26f5f63af92f" type="#_x0000_t75" style="height:15.65pt;width:16.6pt;" o:ole="t" filled="f" o:preferrelative="t" stroked="f" coordsize="21600,21600">
            <v:path/>
            <v:fill on="f" focussize="0,0"/>
            <v:stroke on="f" joinstyle="miter"/>
            <v:imagedata r:id="rId56" o:title="eqIdcf298f00799cbf34b4db26f5f63af92f"/>
            <o:lock v:ext="edit" aspectratio="t"/>
            <w10:wrap type="none"/>
            <w10:anchorlock/>
          </v:shape>
          <o:OLEObject Type="Embed" ProgID="Equation.DSMT4" ShapeID="_x0000_i1054" DrawAspect="Content" ObjectID="_1468075753" r:id="rId55">
            <o:LockedField>false</o:LockedField>
          </o:OLEObject>
        </w:object>
      </w:r>
    </w:p>
    <w:p w14:paraId="1F7CBF44">
      <w:pPr>
        <w:spacing w:after="0" w:line="360" w:lineRule="auto"/>
        <w:textAlignment w:val="center"/>
      </w:pP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8E9C5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E4"/>
    <w:rsid w:val="00803E4E"/>
    <w:rsid w:val="00C22C42"/>
    <w:rsid w:val="00D0045D"/>
    <w:rsid w:val="00D97CE4"/>
    <w:rsid w:val="38B77C1F"/>
    <w:rsid w:val="3EAB71CD"/>
    <w:rsid w:val="5ED3743A"/>
    <w:rsid w:val="7C9D24AD"/>
    <w:rsid w:val="7F42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7" Type="http://schemas.openxmlformats.org/officeDocument/2006/relationships/fontTable" Target="fontTable.xml"/><Relationship Id="rId56" Type="http://schemas.openxmlformats.org/officeDocument/2006/relationships/image" Target="media/image22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7.bin"/><Relationship Id="rId50" Type="http://schemas.openxmlformats.org/officeDocument/2006/relationships/image" Target="media/image19.wmf"/><Relationship Id="rId5" Type="http://schemas.openxmlformats.org/officeDocument/2006/relationships/header" Target="header1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5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4.wmf"/><Relationship Id="rId4" Type="http://schemas.openxmlformats.org/officeDocument/2006/relationships/endnotes" Target="endnotes.xml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1.wmf"/><Relationship Id="rId3" Type="http://schemas.openxmlformats.org/officeDocument/2006/relationships/footnotes" Target="footnotes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364</Characters>
  <Lines>44</Lines>
  <Paragraphs>52</Paragraphs>
  <TotalTime>0</TotalTime>
  <ScaleCrop>false</ScaleCrop>
  <LinksUpToDate>false</LinksUpToDate>
  <CharactersWithSpaces>375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2025-04-02T04:32:00Z</dcterms:created>
  <dc:creator>路阳 梁</dc:creator>
  <cp:lastModifiedBy>众望教育</cp:lastModifiedBy>
  <dcterms:modified xsi:type="dcterms:W3CDTF">2025-08-07T01:11:19Z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E0B7231E8DEF44668EFDC66205CCBB65_12</vt:lpwstr>
  </property>
</Properties>
</file>