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9.2 独立性检验</w:t>
      </w:r>
    </w:p>
    <w:p w14:paraId="6E16B885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 w:ascii="Times New Roman" w:hAnsi="Times New Roman"/>
          <w:sz w:val="21"/>
          <w:szCs w:val="21"/>
          <w:lang w:val="en-US" w:eastAsia="zh-CN"/>
        </w:rPr>
        <w:t>1.独立性检验：用</w:t>
      </w:r>
      <w:r>
        <w:rPr>
          <w:rFonts w:hint="default"/>
          <w:sz w:val="21"/>
          <w:lang w:val="en-US" w:eastAsia="zh-CN"/>
        </w:rPr>
        <w:object>
          <v:shape id="_x0000_i1070" o:spt="75" alt="eqId953e89f7e797bf8fe9ff31e0d2f66728" type="#_x0000_t75" style="height:15.35pt;width:14.05pt;" o:ole="t" filled="f" o:preferrelative="t" stroked="f" coordsize="21600,21600">
            <v:path/>
            <v:fill on="f" focussize="0,0"/>
            <v:stroke on="f" joinstyle="miter"/>
            <v:imagedata r:id="rId6" o:title="eqId953e89f7e797bf8fe9ff31e0d2f66728"/>
            <o:lock v:ext="edit" aspectratio="t"/>
            <w10:wrap type="none"/>
            <w10:anchorlock/>
          </v:shape>
          <o:OLEObject Type="Embed" ProgID="Equation.DSMT4" ShapeID="_x0000_i1070" DrawAspect="Content" ObjectID="_1468075725" r:id="rId5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统计量研究两个变量是否有关的问题的方法称为独立性检验.</w:t>
      </w:r>
    </w:p>
    <w:p w14:paraId="5D6036BE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default"/>
          <w:sz w:val="21"/>
          <w:lang w:val="en-US" w:eastAsia="zh-CN"/>
        </w:rPr>
        <w:object>
          <v:shape id="_x0000_i1084" o:spt="75" alt="eqIde7dc70b5e1ba847b9918a50f67bfbe8f" type="#_x0000_t75" style="height:15.7pt;width:22.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84" DrawAspect="Content" ObjectID="_1468075726" r:id="rId7">
            <o:LockedField>false</o:LockedField>
          </o:OLEObject>
        </w:object>
      </w:r>
      <w:r>
        <w:rPr>
          <w:rFonts w:hint="default"/>
          <w:sz w:val="21"/>
          <w:u w:val="none"/>
          <w:lang w:val="en-US" w:eastAsia="zh-CN"/>
        </w:rPr>
        <w:object>
          <v:shape id="_x0000_i1085" o:spt="75" type="#_x0000_t75" style="height:35pt;width:131pt;" o:ole="t" filled="f" o:preferrelative="t" stroked="f" coordsize="21600,21600">
            <v:path/>
            <v:fill on="f" focussize="0,0"/>
            <v:stroke on="f"/>
            <v:imagedata r:id="rId10" o:title=""/>
            <o:lock v:ext="edit" aspectratio="f"/>
            <w10:wrap type="none"/>
            <w10:anchorlock/>
          </v:shape>
          <o:OLEObject Type="Embed" ProgID="Equation.DSMT4" ShapeID="_x0000_i1085" DrawAspect="Content" ObjectID="_1468075727" r:id="rId9">
            <o:LockedField>false</o:LockedField>
          </o:OLEObject>
        </w:object>
      </w:r>
      <w:r>
        <w:rPr>
          <w:rFonts w:hint="eastAsia"/>
          <w:sz w:val="21"/>
          <w:u w:val="none"/>
          <w:lang w:val="en-US" w:eastAsia="zh-CN"/>
        </w:rPr>
        <w:t>.</w:t>
      </w:r>
    </w:p>
    <w:p w14:paraId="122BAE02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2. 独立性检验的步骤：</w:t>
      </w:r>
    </w:p>
    <w:p w14:paraId="06BBAD5A"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一般地，对于两个分类变量</w:t>
      </w:r>
      <w:r>
        <w:rPr>
          <w:rFonts w:hint="eastAsia" w:ascii="宋体" w:hAnsi="宋体" w:eastAsia="宋体" w:cs="宋体"/>
          <w:sz w:val="21"/>
          <w:lang w:val="en-US" w:eastAsia="zh-CN"/>
        </w:rPr>
        <w:t>Ⅰ和Ⅱ，Ⅰ有两类取值，即类A和类B；Ⅱ也有两类取值，即类1和类2，我们得到如下列联表所示的抽样数据：</w:t>
      </w:r>
    </w:p>
    <w:tbl>
      <w:tblPr>
        <w:tblStyle w:val="4"/>
        <w:tblW w:w="58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34"/>
        <w:gridCol w:w="834"/>
        <w:gridCol w:w="823"/>
        <w:gridCol w:w="823"/>
        <w:gridCol w:w="2494"/>
      </w:tblGrid>
      <w:tr w14:paraId="0F407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8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29857D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</w:p>
        </w:tc>
        <w:tc>
          <w:tcPr>
            <w:tcW w:w="16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7D7E750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Ⅱ</w: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0149848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</w:p>
        </w:tc>
      </w:tr>
      <w:tr w14:paraId="05D41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8" w:type="dxa"/>
            <w:gridSpan w:val="2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4F7B50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5CEB25EF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类1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DDFD399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类2</w: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CE71D09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合计</w:t>
            </w:r>
          </w:p>
        </w:tc>
      </w:tr>
      <w:tr w14:paraId="76DA4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34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FB125CA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Ⅰ</w:t>
            </w:r>
          </w:p>
        </w:tc>
        <w:tc>
          <w:tcPr>
            <w:tcW w:w="8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39AF310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类A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B579227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33" o:spt="75" alt="eqId0a6936d370d6a238a608ca56f87198de" type="#_x0000_t75" style="height:9.65pt;width:8.75pt;" o:ole="t" filled="f" o:preferrelative="t" stroked="f" coordsize="21600,21600">
                  <v:path/>
                  <v:fill on="f" focussize="0,0"/>
                  <v:stroke on="f" joinstyle="miter"/>
                  <v:imagedata r:id="rId12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28" r:id="rId11">
                  <o:LockedField>false</o:LockedField>
                </o:OLEObject>
              </w:objec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0B029B34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34" o:spt="75" alt="eqId2c94bb12cee76221e13f9ef955b0aab1" type="#_x0000_t75" style="height:12.35pt;width:8.75pt;" o:ole="t" filled="f" o:preferrelative="t" stroked="f" coordsize="21600,21600">
                  <v:path/>
                  <v:fill on="f" focussize="0,0"/>
                  <v:stroke on="f" joinstyle="miter"/>
                  <v:imagedata r:id="rId14" o:title="eqId2c94bb12cee76221e13f9ef955b0aab1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FFAC52B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u w:val="single"/>
                <w:lang w:val="en-US" w:eastAsia="zh-CN"/>
              </w:rPr>
              <w:object>
                <v:shape id="_x0000_i1035" o:spt="75" alt="eqId20d6fc9b90f370fbb27552876b650f8f" type="#_x0000_t75" style="height:11.85pt;width:23.7pt;" o:ole="t" filled="f" o:preferrelative="t" stroked="f" coordsize="21600,21600">
                  <v:path/>
                  <v:fill on="f" focussize="0,0"/>
                  <v:stroke on="f" joinstyle="miter"/>
                  <v:imagedata r:id="rId16" o:title="eqId20d6fc9b90f370fbb27552876b650f8f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0" r:id="rId15">
                  <o:LockedField>false</o:LockedField>
                </o:OLEObject>
              </w:object>
            </w:r>
          </w:p>
        </w:tc>
      </w:tr>
      <w:tr w14:paraId="60613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3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0B577A4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</w:p>
        </w:tc>
        <w:tc>
          <w:tcPr>
            <w:tcW w:w="8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9E14287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类B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1A7EE756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37" o:spt="75" alt="eqId071a7e733d466949ac935b4b8ee8d183" type="#_x0000_t75" style="height:9.75pt;width:7.9pt;" o:ole="t" filled="f" o:preferrelative="t" stroked="f" coordsize="21600,21600">
                  <v:path/>
                  <v:fill on="f" focussize="0,0"/>
                  <v:stroke on="f" joinstyle="miter"/>
                  <v:imagedata r:id="rId18" o:title="eqId071a7e733d466949ac935b4b8ee8d183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31" r:id="rId17">
                  <o:LockedField>false</o:LockedField>
                </o:OLEObject>
              </w:objec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6D648225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38" o:spt="75" alt="eqId5c02bc0c74292b1e8f395f90935d3174" type="#_x0000_t75" style="height:12.3pt;width:9.65pt;" o:ole="t" filled="f" o:preferrelative="t" stroked="f" coordsize="21600,21600">
                  <v:path/>
                  <v:fill on="f" focussize="0,0"/>
                  <v:stroke on="f" joinstyle="miter"/>
                  <v:imagedata r:id="rId20" o:title="eqId5c02bc0c74292b1e8f395f90935d3174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2" r:id="rId19">
                  <o:LockedField>false</o:LockedField>
                </o:OLEObject>
              </w:objec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8018342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u w:val="single"/>
                <w:lang w:val="en-US" w:eastAsia="zh-CN"/>
              </w:rPr>
              <w:object>
                <v:shape id="_x0000_i1039" o:spt="75" alt="eqId817f73b2c8c5088ca23f0d45de56f966" type="#_x0000_t75" style="height:12.1pt;width:23.7pt;" o:ole="t" filled="f" o:preferrelative="t" stroked="f" coordsize="21600,21600">
                  <v:path/>
                  <v:fill on="f" focussize="0,0"/>
                  <v:stroke on="f" joinstyle="miter"/>
                  <v:imagedata r:id="rId22" o:title="eqId817f73b2c8c5088ca23f0d45de56f966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3" r:id="rId21">
                  <o:LockedField>false</o:LockedField>
                </o:OLEObject>
              </w:object>
            </w:r>
          </w:p>
        </w:tc>
      </w:tr>
      <w:tr w14:paraId="18199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6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77C073A2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合计</w: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4C04303B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40" o:spt="75" alt="eqIddd1810555c0c28fe352841322b85bbc6" type="#_x0000_t75" style="height:10.75pt;width:22.85pt;" o:ole="t" filled="f" o:preferrelative="t" stroked="f" coordsize="21600,21600">
                  <v:path/>
                  <v:fill on="f" focussize="0,0"/>
                  <v:stroke on="f" joinstyle="miter"/>
                  <v:imagedata r:id="rId24" o:title="eqIddd1810555c0c28fe352841322b85bbc6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34" r:id="rId23">
                  <o:LockedField>false</o:LockedField>
                </o:OLEObject>
              </w:object>
            </w:r>
          </w:p>
        </w:tc>
        <w:tc>
          <w:tcPr>
            <w:tcW w:w="8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35AA0BE5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41" o:spt="75" alt="eqId2d02a08024fd5d4305bc2638b472fa48" type="#_x0000_t75" style="height:12.6pt;width:24.6pt;" o:ole="t" filled="f" o:preferrelative="t" stroked="f" coordsize="21600,21600">
                  <v:path/>
                  <v:fill on="f" focussize="0,0"/>
                  <v:stroke on="f" joinstyle="miter"/>
                  <v:imagedata r:id="rId26" o:title="eqId2d02a08024fd5d4305bc2638b472fa48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35" r:id="rId25">
                  <o:LockedField>false</o:LockedField>
                </o:OLEObject>
              </w:object>
            </w:r>
          </w:p>
        </w:tc>
        <w:tc>
          <w:tcPr>
            <w:tcW w:w="24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 w14:paraId="2766E87B">
            <w:pPr>
              <w:keepNext w:val="0"/>
              <w:keepLines w:val="0"/>
              <w:pageBreakBefore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center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object>
                <v:shape id="_x0000_i1042" o:spt="75" alt="eqId356b05e46b10ee51c3e43546d73ec96c" type="#_x0000_t75" style="height:9.8pt;width:16.75pt;" o:ole="t" filled="f" o:preferrelative="t" stroked="f" coordsize="21600,21600">
                  <v:path/>
                  <v:fill on="f" focussize="0,0"/>
                  <v:stroke on="f"/>
                  <v:imagedata r:id="rId28" o:title="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36" r:id="rId27">
                  <o:LockedField>false</o:LockedField>
                </o:OLEObject>
              </w:object>
            </w:r>
            <w:r>
              <w:rPr>
                <w:rFonts w:hint="default"/>
                <w:sz w:val="21"/>
                <w:u w:val="single"/>
                <w:lang w:val="en-US" w:eastAsia="zh-CN"/>
              </w:rPr>
              <w:object>
                <v:shape id="_x0000_i1043" o:spt="75" type="#_x0000_t75" style="height:13.95pt;width:60.95pt;" o:ole="t" filled="f" o:preferrelative="t" stroked="f" coordsize="21600,21600">
                  <v:path/>
                  <v:fill on="f" focussize="0,0"/>
                  <v:stroke on="f"/>
                  <v:imagedata r:id="rId30" o:title=""/>
                  <o:lock v:ext="edit" aspectratio="f"/>
                  <w10:wrap type="none"/>
                  <w10:anchorlock/>
                </v:shape>
                <o:OLEObject Type="Embed" ProgID="Equation.DSMT4" ShapeID="_x0000_i1043" DrawAspect="Content" ObjectID="_1468075737" r:id="rId29">
                  <o:LockedField>false</o:LockedField>
                </o:OLEObject>
              </w:object>
            </w:r>
          </w:p>
        </w:tc>
      </w:tr>
    </w:tbl>
    <w:p w14:paraId="1D1EA8EE">
      <w:pPr>
        <w:keepNext w:val="0"/>
        <w:keepLines w:val="0"/>
        <w:pageBreakBefore w:val="0"/>
        <w:numPr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要推断“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”，可按下面的步骤进行:</w:t>
      </w:r>
    </w:p>
    <w:p w14:paraId="35D7E424">
      <w:pPr>
        <w:keepNext w:val="0"/>
        <w:keepLines w:val="0"/>
        <w:pageBreakBefore w:val="0"/>
        <w:numPr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（1）提出假设</w:t>
      </w:r>
      <w:r>
        <w:rPr>
          <w:rFonts w:hint="eastAsia"/>
          <w:sz w:val="21"/>
          <w:lang w:val="en-US" w:eastAsia="zh-CN"/>
        </w:rPr>
        <w:object>
          <v:shape id="_x0000_i1078" o:spt="75" alt="eqId54a829fdd8ec0f3b7ede883cf2c3e53b" type="#_x0000_t75" style="height:16.1pt;width:14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78" DrawAspect="Content" ObjectID="_1468075738" r:id="rId31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:</w:t>
      </w:r>
      <w:r>
        <w:rPr>
          <w:rFonts w:hint="eastAsia" w:ascii="宋体" w:hAnsi="宋体" w:eastAsia="宋体" w:cs="宋体"/>
          <w:sz w:val="21"/>
          <w:lang w:val="en-US" w:eastAsia="zh-CN"/>
        </w:rPr>
        <w:t>Ⅰ与Ⅱ</w:t>
      </w:r>
      <w:r>
        <w:rPr>
          <w:rFonts w:hint="eastAsia"/>
          <w:sz w:val="21"/>
          <w:lang w:val="en-US" w:eastAsia="zh-CN"/>
        </w:rPr>
        <w:t>没有关系;</w:t>
      </w:r>
    </w:p>
    <w:p w14:paraId="70995FDF">
      <w:pPr>
        <w:keepNext w:val="0"/>
        <w:keepLines w:val="0"/>
        <w:pageBreakBefore w:val="0"/>
        <w:numPr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（2）根据2x2列联表与公式（1）计算</w:t>
      </w:r>
      <w:r>
        <w:rPr>
          <w:rFonts w:hint="default"/>
          <w:sz w:val="21"/>
          <w:lang w:val="en-US" w:eastAsia="zh-CN"/>
        </w:rPr>
        <w:object>
          <v:shape id="_x0000_i1080" o:spt="75" alt="eqId953e89f7e797bf8fe9ff31e0d2f66728" type="#_x0000_t75" style="height:15.35pt;width:14.05pt;" o:ole="t" filled="f" o:preferrelative="t" stroked="f" coordsize="21600,21600">
            <v:path/>
            <v:fill on="f" focussize="0,0"/>
            <v:stroke on="f" joinstyle="miter"/>
            <v:imagedata r:id="rId6" o:title="eqId953e89f7e797bf8fe9ff31e0d2f66728"/>
            <o:lock v:ext="edit" aspectratio="t"/>
            <w10:wrap type="none"/>
            <w10:anchorlock/>
          </v:shape>
          <o:OLEObject Type="Embed" ProgID="Equation.DSMT4" ShapeID="_x0000_i1080" DrawAspect="Content" ObjectID="_1468075739" r:id="rId33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的值;</w:t>
      </w:r>
    </w:p>
    <w:p w14:paraId="6DCE93ED">
      <w:pPr>
        <w:keepNext w:val="0"/>
        <w:keepLines w:val="0"/>
        <w:pageBreakBefore w:val="0"/>
        <w:numPr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（3）根据临界值,做出判断.</w:t>
      </w:r>
    </w:p>
    <w:p w14:paraId="6A0C5D5F">
      <w:pPr>
        <w:keepNext w:val="0"/>
        <w:keepLines w:val="0"/>
        <w:pageBreakBefore w:val="0"/>
        <w:numPr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drawing>
          <wp:inline distT="0" distB="0" distL="114300" distR="114300">
            <wp:extent cx="5271135" cy="793750"/>
            <wp:effectExtent l="0" t="0" r="5715" b="6350"/>
            <wp:docPr id="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A22A1D"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</w:t>
      </w:r>
      <w:r>
        <w:rPr>
          <w:rFonts w:hint="default"/>
          <w:position w:val="-10"/>
          <w:sz w:val="21"/>
          <w:lang w:val="en-US" w:eastAsia="zh-CN"/>
        </w:rPr>
        <w:object>
          <v:shape id="_x0000_i1086" o:spt="75" alt="eqIde7dc70b5e1ba847b9918a50f67bfbe8f" type="#_x0000_t75" style="height:15.7pt;width:53.7pt;" o:ole="t" filled="f" o:preferrelative="t" stroked="f" coordsize="21600,21600">
            <v:path/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DSMT4" ShapeID="_x0000_i1086" DrawAspect="Content" ObjectID="_1468075740" r:id="rId35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，则有99.9%的把握认为“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”；</w:t>
      </w:r>
    </w:p>
    <w:p w14:paraId="0A041892">
      <w:pPr>
        <w:jc w:val="both"/>
        <w:rPr>
          <w:rFonts w:hint="eastAsia"/>
          <w:sz w:val="21"/>
          <w:lang w:val="en-US" w:eastAsia="zh-CN"/>
        </w:rPr>
      </w:pPr>
      <w:r>
        <w:rPr>
          <w:rFonts w:hint="eastAsia"/>
          <w:lang w:val="en-US" w:eastAsia="zh-CN"/>
        </w:rPr>
        <w:t>（2）若</w:t>
      </w:r>
      <w:r>
        <w:rPr>
          <w:rFonts w:hint="default"/>
          <w:position w:val="-10"/>
          <w:sz w:val="21"/>
          <w:lang w:val="en-US" w:eastAsia="zh-CN"/>
        </w:rPr>
        <w:object>
          <v:shape id="_x0000_i1087" o:spt="75" alt="eqIde7dc70b5e1ba847b9918a50f67bfbe8f" type="#_x0000_t75" style="height:15.7pt;width:49.35pt;" o:ole="t" filled="f" o:preferrelative="t" stroked="f" coordsize="21600,21600">
            <v:path/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DSMT4" ShapeID="_x0000_i1087" DrawAspect="Content" ObjectID="_1468075741" r:id="rId37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，则有99%的把握认为“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”；</w:t>
      </w:r>
    </w:p>
    <w:p w14:paraId="68AE94C0">
      <w:pPr>
        <w:jc w:val="both"/>
        <w:rPr>
          <w:rFonts w:hint="eastAsia"/>
          <w:sz w:val="21"/>
          <w:lang w:val="en-US" w:eastAsia="zh-CN"/>
        </w:rPr>
      </w:pPr>
      <w:r>
        <w:rPr>
          <w:rFonts w:hint="eastAsia"/>
          <w:lang w:val="en-US" w:eastAsia="zh-CN"/>
        </w:rPr>
        <w:t>（3）若</w:t>
      </w:r>
      <w:r>
        <w:rPr>
          <w:rFonts w:hint="default"/>
          <w:position w:val="-10"/>
          <w:sz w:val="21"/>
          <w:lang w:val="en-US" w:eastAsia="zh-CN"/>
        </w:rPr>
        <w:object>
          <v:shape id="_x0000_i1088" o:spt="75" alt="eqIde7dc70b5e1ba847b9918a50f67bfbe8f" type="#_x0000_t75" style="height:15.7pt;width:49.3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DSMT4" ShapeID="_x0000_i1088" DrawAspect="Content" ObjectID="_1468075742" r:id="rId39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，则有90%的把握认为“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”；</w:t>
      </w:r>
    </w:p>
    <w:p w14:paraId="49CEE89E">
      <w:pPr>
        <w:jc w:val="both"/>
        <w:rPr>
          <w:rFonts w:hint="eastAsia" w:ascii="宋体" w:hAnsi="宋体" w:eastAsia="宋体" w:cs="宋体"/>
          <w:sz w:val="21"/>
          <w:lang w:val="en-US" w:eastAsia="zh-CN"/>
        </w:rPr>
      </w:pPr>
      <w:r>
        <w:rPr>
          <w:rFonts w:hint="eastAsia"/>
          <w:lang w:val="en-US" w:eastAsia="zh-CN"/>
        </w:rPr>
        <w:t>（4）若</w:t>
      </w:r>
      <w:r>
        <w:rPr>
          <w:rFonts w:hint="default"/>
          <w:position w:val="-10"/>
          <w:sz w:val="21"/>
          <w:lang w:val="en-US" w:eastAsia="zh-CN"/>
        </w:rPr>
        <w:object>
          <v:shape id="_x0000_i1089" o:spt="75" alt="eqIde7dc70b5e1ba847b9918a50f67bfbe8f" type="#_x0000_t75" style="height:15.7pt;width:49.35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DSMT4" ShapeID="_x0000_i1089" DrawAspect="Content" ObjectID="_1468075743" r:id="rId41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，则认为没有证据显示“</w:t>
      </w:r>
      <w:r>
        <w:rPr>
          <w:rFonts w:hint="eastAsia" w:ascii="宋体" w:hAnsi="宋体" w:eastAsia="宋体" w:cs="宋体"/>
          <w:sz w:val="21"/>
          <w:lang w:val="en-US" w:eastAsia="zh-CN"/>
        </w:rPr>
        <w:t>Ⅰ与Ⅱ有关系</w:t>
      </w:r>
      <w:r>
        <w:rPr>
          <w:rFonts w:hint="eastAsia"/>
          <w:sz w:val="21"/>
          <w:lang w:val="en-US" w:eastAsia="zh-CN"/>
        </w:rPr>
        <w:t>”，但也不能得出结论“</w:t>
      </w:r>
      <w:r>
        <w:rPr>
          <w:rFonts w:hint="eastAsia"/>
          <w:sz w:val="21"/>
          <w:lang w:val="en-US" w:eastAsia="zh-CN"/>
        </w:rPr>
        <w:object>
          <v:shape id="_x0000_i1090" o:spt="75" alt="eqId54a829fdd8ec0f3b7ede883cf2c3e53b" type="#_x0000_t75" style="height:16.1pt;width:14.9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90" DrawAspect="Content" ObjectID="_1468075744" r:id="rId43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成立”，即</w:t>
      </w:r>
      <w:r>
        <w:rPr>
          <w:rFonts w:hint="eastAsia" w:ascii="宋体" w:hAnsi="宋体" w:eastAsia="宋体" w:cs="宋体"/>
          <w:sz w:val="21"/>
          <w:lang w:val="en-US" w:eastAsia="zh-CN"/>
        </w:rPr>
        <w:t>Ⅰ与Ⅱ没有关系.</w:t>
      </w:r>
    </w:p>
    <w:p w14:paraId="3A108693">
      <w:pPr>
        <w:jc w:val="both"/>
        <w:rPr>
          <w:rFonts w:hint="default" w:ascii="宋体" w:hAnsi="宋体" w:eastAsia="宋体" w:cs="宋体"/>
          <w:sz w:val="21"/>
          <w:lang w:val="en-US" w:eastAsia="zh-CN"/>
        </w:rPr>
      </w:pPr>
      <w:bookmarkStart w:id="0" w:name="_GoBack"/>
      <w:bookmarkEnd w:id="0"/>
    </w:p>
    <w:p w14:paraId="1F841DC1">
      <w:pPr>
        <w:jc w:val="both"/>
        <w:rPr>
          <w:rFonts w:hint="default"/>
          <w:sz w:val="21"/>
          <w:lang w:val="en-US" w:eastAsia="zh-CN"/>
        </w:rPr>
      </w:pPr>
    </w:p>
    <w:p w14:paraId="540E86EB">
      <w:pPr>
        <w:jc w:val="both"/>
        <w:rPr>
          <w:rFonts w:hint="default"/>
          <w:sz w:val="21"/>
          <w:lang w:val="en-US" w:eastAsia="zh-CN"/>
        </w:rPr>
      </w:pPr>
    </w:p>
    <w:p w14:paraId="7B00D4BD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0474EE9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4" Type="http://schemas.openxmlformats.org/officeDocument/2006/relationships/fontTable" Target="fontTable.xml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png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34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2025-08-20T03:24:28Z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