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8.2.3 二项分布</w:t>
      </w:r>
    </w:p>
    <w:p w14:paraId="1EBF92EF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1.伯努利试验</w:t>
      </w:r>
    </w:p>
    <w:p w14:paraId="56326E8B">
      <w:pPr>
        <w:spacing w:after="0" w:line="360" w:lineRule="auto"/>
        <w:jc w:val="both"/>
        <w:rPr>
          <w:rFonts w:hint="default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我们把只包含</w:t>
      </w:r>
      <w:r>
        <w:rPr>
          <w:rFonts w:hint="eastAsia" w:ascii="Times New Roman" w:hAnsi="Times New Roman" w:eastAsia="宋体" w:cs="Times New Roman"/>
          <w:bCs/>
          <w:color w:val="0000FF"/>
          <w:sz w:val="21"/>
          <w:u w:val="single"/>
          <w:lang w:val="en-US" w:eastAsia="zh-CN"/>
          <w14:ligatures w14:val="none"/>
        </w:rPr>
        <w:t>两个可能结果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的试验叫作伯努利试验.</w:t>
      </w:r>
    </w:p>
    <w:p w14:paraId="3C136DE5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2.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n重伯努利试验</w:t>
      </w:r>
    </w:p>
    <w:p w14:paraId="506BBE1C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将一个伯努利试验独立地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重复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进行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n次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所组成的随机试验称为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n重伯努利试验.</w:t>
      </w:r>
    </w:p>
    <w:p w14:paraId="506922CB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3.</w:t>
      </w: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二项分布</w:t>
      </w:r>
    </w:p>
    <w:p w14:paraId="457E1788">
      <w:pPr>
        <w:spacing w:after="0" w:line="360" w:lineRule="auto"/>
        <w:jc w:val="both"/>
        <w:rPr>
          <w:rFonts w:hint="default" w:ascii="Times New Roman" w:hAnsi="Times New Roman" w:eastAsia="宋体" w:cs="Times New Roman"/>
          <w:bCs/>
          <w:sz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若随机变量X的分布列为</w: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object>
          <v:shape id="_x0000_i1053" o:spt="75" alt="eqIdcf7ba8b88576542f7c2fa76eff890cc3" type="#_x0000_t75" style="height:19.1pt;width:118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53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lang w:val="en-US" w:eastAsia="zh-CN"/>
          <w14:ligatures w14:val="none"/>
        </w:rPr>
        <w:t>，其中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0&lt;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p&lt;1,p+q=1,k=0,1,2,</m:t>
        </m:r>
        <m:r>
          <m:rPr/>
          <w:rPr>
            <w:rFonts w:hint="default" w:ascii="Cambria Math" w:hAnsi="Cambria Math" w:eastAsia="宋体" w:cs="Cambria Math"/>
            <w:kern w:val="2"/>
            <w:sz w:val="21"/>
            <w:szCs w:val="24"/>
            <w:lang w:val="en-US" w:eastAsia="zh-CN" w:bidi="ar-SA"/>
            <w14:ligatures w14:val="none"/>
          </w:rPr>
          <m:t>⋯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,n</m:t>
        </m:r>
      </m:oMath>
      <w:r>
        <m:rPr/>
        <w:rPr>
          <w:rFonts w:hint="eastAsia" w:hAnsi="Cambria Math" w:eastAsia="宋体" w:cs="Times New Roman"/>
          <w:bCs/>
          <w:i w:val="0"/>
          <w:iCs/>
          <w:kern w:val="2"/>
          <w:sz w:val="21"/>
          <w:szCs w:val="24"/>
          <w:lang w:val="en-US" w:eastAsia="zh-CN" w:bidi="ar-SA"/>
          <w14:ligatures w14:val="none"/>
        </w:rPr>
        <w:t>, 则称x服从参数为n,p的二项分布，记作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X~B</m:t>
        </m:r>
        <m:d>
          <m:dPr>
            <m:ctrlPr>
              <m:rPr/>
              <w:rPr>
                <w:rFonts w:hint="default" w:ascii="Cambria Math" w:hAnsi="Cambria Math" w:eastAsia="宋体" w:cs="Times New Roman"/>
                <w:bCs/>
                <w:i/>
                <w:iCs w:val="0"/>
                <w:kern w:val="2"/>
                <w:sz w:val="21"/>
                <w:szCs w:val="24"/>
                <w:lang w:val="en-US" w:eastAsia="zh-CN" w:bidi="ar-SA"/>
                <w14:ligatures w14:val="none"/>
              </w:rPr>
            </m:ctrlPr>
          </m:dPr>
          <m:e>
            <m:r>
              <m:rPr/>
              <w:rPr>
                <w:rFonts w:hint="default" w:ascii="Cambria Math" w:hAnsi="Cambria Math" w:eastAsia="宋体" w:cs="Times New Roman"/>
                <w:kern w:val="2"/>
                <w:sz w:val="21"/>
                <w:szCs w:val="24"/>
                <w:lang w:val="en-US" w:eastAsia="zh-CN" w:bidi="ar-SA"/>
                <w14:ligatures w14:val="none"/>
              </w:rPr>
              <m:t>n,p</m:t>
            </m:r>
            <m:ctrlPr>
              <m:rPr/>
              <w:rPr>
                <w:rFonts w:hint="default" w:ascii="Cambria Math" w:hAnsi="Cambria Math" w:eastAsia="宋体" w:cs="Times New Roman"/>
                <w:bCs/>
                <w:i/>
                <w:iCs w:val="0"/>
                <w:kern w:val="2"/>
                <w:sz w:val="21"/>
                <w:szCs w:val="24"/>
                <w:lang w:val="en-US" w:eastAsia="zh-CN" w:bidi="ar-SA"/>
                <w14:ligatures w14:val="none"/>
              </w:rPr>
            </m:ctrlPr>
          </m:e>
        </m:d>
      </m:oMath>
      <w:r>
        <m:rPr/>
        <w:rPr>
          <w:rFonts w:hint="eastAsia" w:hAnsi="Cambria Math" w:eastAsia="宋体" w:cs="Times New Roman"/>
          <w:bCs/>
          <w:i w:val="0"/>
          <w:iCs w:val="0"/>
          <w:kern w:val="2"/>
          <w:sz w:val="21"/>
          <w:szCs w:val="24"/>
          <w:lang w:val="en-US" w:eastAsia="zh-CN" w:bidi="ar-SA"/>
          <w14:ligatures w14:val="none"/>
        </w:rPr>
        <w:t>，其概率分布如表所示.</w:t>
      </w:r>
    </w:p>
    <w:tbl>
      <w:tblPr>
        <w:tblStyle w:val="4"/>
        <w:tblW w:w="463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96"/>
        <w:gridCol w:w="1528"/>
        <w:gridCol w:w="1671"/>
        <w:gridCol w:w="1757"/>
        <w:gridCol w:w="633"/>
        <w:gridCol w:w="1529"/>
      </w:tblGrid>
      <w:tr w14:paraId="029A1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D8C1B2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3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8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2FA8AA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c95b6be4554f03bf496092f1acdfbb89" type="#_x0000_t75" style="height:12.85pt;width:8.75pt;" o:ole="t" filled="f" o:preferrelative="t" stroked="f" coordsize="21600,21600">
                  <v:path/>
                  <v:fill on="f" focussize="0,0"/>
                  <v:stroke on="f" joinstyle="miter"/>
                  <v:imagedata r:id="rId10" o:title="eqIdc95b6be4554f03bf496092f1acdfbb89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A6CAB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5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12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F5BACD">
            <w:pPr>
              <w:spacing w:after="0" w:line="360" w:lineRule="auto"/>
              <w:textAlignment w:val="center"/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10BF5EE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E692C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7" o:spt="75" alt="eqIdb6a24198bd04c29321ae5dc5a28fe421" type="#_x0000_t75" style="height:9.4pt;width:8.75pt;" o:ole="t" filled="f" o:preferrelative="t" stroked="f" coordsize="21600,21600">
                  <v:path/>
                  <v:fill on="f" focussize="0,0"/>
                  <v:stroke on="f" joinstyle="miter"/>
                  <v:imagedata r:id="rId14" o:title="eqIdb6a24198bd04c29321ae5dc5a28fe421"/>
                  <o:lock v:ext="edit" aspectratio="t"/>
                  <w10:wrap type="none"/>
                  <w10:anchorlock/>
                </v:shape>
                <o:OLEObject Type="Embed" ProgID="Equation.DSMT4" ShapeID="_x0000_i1037" DrawAspect="Content" ObjectID="_1468075729" r:id="rId13">
                  <o:LockedField>false</o:LockedField>
                </o:OLEObject>
              </w:object>
            </w:r>
          </w:p>
        </w:tc>
      </w:tr>
      <w:tr w14:paraId="42766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3283A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8" o:spt="75" alt="eqIdb1010846eeec6c9da29640f5aa3f8738" type="#_x0000_t75" style="height:11.9pt;width:10.65pt;" o:ole="t" filled="f" o:preferrelative="t" stroked="f" coordsize="21600,21600">
                  <v:path/>
                  <v:fill on="f" focussize="0,0"/>
                  <v:stroke on="f" joinstyle="miter"/>
                  <v:imagedata r:id="rId16" o:title="eqIdb1010846eeec6c9da29640f5aa3f8738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8F1629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9" o:spt="75" alt="eqId01e69ac97df47b9daf86e3acd938031e" type="#_x0000_t75" style="height:16.3pt;width:34.45pt;" o:ole="t" filled="f" o:preferrelative="t" stroked="f" coordsize="21600,21600">
                  <v:path/>
                  <v:fill on="f" focussize="0,0"/>
                  <v:stroke on="f" joinstyle="miter"/>
                  <v:imagedata r:id="rId18" o:title="eqId01e69ac97df47b9daf86e3acd938031e"/>
                  <o:lock v:ext="edit" aspectratio="t"/>
                  <w10:wrap type="none"/>
                  <w10:anchorlock/>
                </v:shape>
                <o:OLEObject Type="Embed" ProgID="Equation.DSMT4" ShapeID="_x0000_i1039" DrawAspect="Content" ObjectID="_1468075731" r:id="rId1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F60A31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0" o:spt="75" alt="eqId750adc1b7a3ae5f205803d721a78c385" type="#_x0000_t75" style="height:16.9pt;width:38.8pt;" o:ole="t" filled="f" o:preferrelative="t" stroked="f" coordsize="21600,21600">
                  <v:path/>
                  <v:fill on="f" focussize="0,0"/>
                  <v:stroke on="f" joinstyle="miter"/>
                  <v:imagedata r:id="rId20" o:title="eqId750adc1b7a3ae5f205803d721a78c385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32" r:id="rId1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F41EE5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41" o:spt="75" alt="eqIdccc2de42046e6ed53430f48a683c13b0" type="#_x0000_t75" style="height:16.9pt;width:41.4pt;" o:ole="t" filled="f" o:preferrelative="t" stroked="f" coordsize="21600,21600">
                  <v:path/>
                  <v:fill on="f" focussize="0,0"/>
                  <v:stroke on="f"/>
                  <v:imagedata r:id="rId22" o:title="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33" r:id="rId2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451F45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71743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6696dbc3122bb54ce10605ffda9dc32d" type="#_x0000_t75" style="height:16.9pt;width:34.45pt;" o:ole="t" filled="f" o:preferrelative="t" stroked="f" coordsize="21600,21600">
                  <v:path/>
                  <v:fill on="f" focussize="0,0"/>
                  <v:stroke on="f" joinstyle="miter"/>
                  <v:imagedata r:id="rId24" o:title="eqId6696dbc3122bb54ce10605ffda9dc32d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34" r:id="rId23">
                  <o:LockedField>false</o:LockedField>
                </o:OLEObject>
              </w:object>
            </w:r>
          </w:p>
        </w:tc>
      </w:tr>
    </w:tbl>
    <w:p w14:paraId="368C37E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b/>
          <w:sz w:val="21"/>
          <w14:ligatures w14:val="none"/>
        </w:rPr>
        <w:t>注意：</w:t>
      </w:r>
      <w:r>
        <w:rPr>
          <w:rFonts w:ascii="Calibri" w:hAnsi="Calibri" w:eastAsia="宋体" w:cs="Times New Roman"/>
          <w:sz w:val="21"/>
          <w14:ligatures w14:val="none"/>
        </w:rPr>
        <w:t>由二项分布的定义可以发现，两点分布是一种特殊的二项分布，即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c87b351f16728b0023fd63678f8103c7" type="#_x0000_t75" style="height:12.2pt;width:22.85pt;" o:ole="t" filled="f" o:preferrelative="t" stroked="f" coordsize="21600,21600">
            <v:path/>
            <v:fill on="f" focussize="0,0"/>
            <v:stroke on="f" joinstyle="miter"/>
            <v:imagedata r:id="rId26" o:title="eqIdc87b351f16728b0023fd63678f8103c7"/>
            <o:lock v:ext="edit" aspectratio="t"/>
            <w10:wrap type="none"/>
            <w10:anchorlock/>
          </v:shape>
          <o:OLEObject Type="Embed" ProgID="Equation.DSMT4" ShapeID="_x0000_i1047" DrawAspect="Content" ObjectID="_1468075735" r:id="rId2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时的二项分布，所以二项分布可以看成是两点分布的一般形式．</w:t>
      </w:r>
    </w:p>
    <w:p w14:paraId="3C49803F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3.二项分布的期望和方差</w:t>
      </w:r>
    </w:p>
    <w:p w14:paraId="6AC9B6DE">
      <w:pPr>
        <w:spacing w:after="0" w:line="360" w:lineRule="auto"/>
        <w:textAlignment w:val="center"/>
        <w:rPr>
          <w:rFonts w:hint="default" w:ascii="Calibri" w:hAnsi="Calibri" w:cs="Times New Roman" w:eastAsiaTheme="minorEastAsia"/>
          <w:sz w:val="21"/>
          <w:lang w:val="en-US" w:eastAsia="zh-CN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ccc44316b111f565e19223b00f5e992a" type="#_x0000_t75" style="height:13.15pt;width:47.6pt;" o:ole="t" filled="f" o:preferrelative="t" stroked="f" coordsize="21600,21600">
            <v:path/>
            <v:fill on="f" focussize="0,0"/>
            <v:stroke on="f" joinstyle="miter"/>
            <v:imagedata r:id="rId28" o:title="eqIdccc44316b111f565e19223b00f5e992a"/>
            <o:lock v:ext="edit" aspectratio="t"/>
            <w10:wrap type="none"/>
            <w10:anchorlock/>
          </v:shape>
          <o:OLEObject Type="Embed" ProgID="Equation.DSMT4" ShapeID="_x0000_i1048" DrawAspect="Content" ObjectID="_1468075736" r:id="rId27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68a0c377c5543cf040ef286e4b23013a" type="#_x0000_t75" style="height:13.75pt;width:35.0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49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u w:val="single"/>
          <w14:ligatures w14:val="none"/>
        </w:rPr>
        <w:object>
          <v:shape id="_x0000_i1050" o:spt="75" alt="eqId68a0c377c5543cf040ef286e4b23013a" type="#_x0000_t75" style="height:11.25pt;width:14.1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50" DrawAspect="Content" ObjectID="_1468075738" r:id="rId31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2ba11ba53904ced8fd4bb5da064db4b7" type="#_x0000_t75" style="height:13.75pt;width:3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51" DrawAspect="Content" ObjectID="_1468075739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u w:val="single"/>
          <w14:ligatures w14:val="none"/>
        </w:rPr>
        <w:object>
          <v:shape id="_x0000_i1052" o:spt="75" alt="eqId2ba11ba53904ced8fd4bb5da064db4b7" type="#_x0000_t75" style="height:13.75pt;width:41.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52" DrawAspect="Content" ObjectID="_1468075740" r:id="rId35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u w:val="none"/>
          <w:lang w:val="en-US" w:eastAsia="zh-CN"/>
          <w14:ligatures w14:val="none"/>
        </w:rPr>
        <w:t>，</w:t>
      </w:r>
      <m:oMath>
        <m:r>
          <m:rPr/>
          <w:rPr>
            <w:rFonts w:hint="default" w:ascii="Cambria Math" w:hAnsi="Cambria Math" w:cs="Times New Roman"/>
            <w:sz w:val="21"/>
            <w:u w:val="none"/>
            <w:lang w:val="en-US"/>
            <w14:ligatures w14:val="none"/>
          </w:rPr>
          <m:t>σ</m:t>
        </m:r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  <w14:ligatures w14:val="none"/>
          </w:rPr>
          <m:t>=</m:t>
        </m:r>
        <m:rad>
          <m:radPr>
            <m:degHide m:val="1"/>
            <m:ctrlPr>
              <m:rPr/>
              <w:rPr>
                <w:rFonts w:hint="default" w:ascii="Cambria Math" w:hAnsi="Cambria Math" w:cs="Times New Roman"/>
                <w:i/>
                <w:iCs/>
                <w:sz w:val="21"/>
                <w:u w:val="none"/>
                <w:lang w:val="en-US" w:eastAsia="zh-CN"/>
                <w14:ligatures w14:val="none"/>
              </w:rPr>
            </m:ctrlPr>
          </m:radPr>
          <m:deg>
            <m:ctrlPr>
              <m:rPr/>
              <w:rPr>
                <w:rFonts w:hint="default" w:ascii="Cambria Math" w:hAnsi="Cambria Math" w:cs="Times New Roman"/>
                <w:i/>
                <w:iCs/>
                <w:sz w:val="21"/>
                <w:u w:val="none"/>
                <w:lang w:val="en-US" w:eastAsia="zh-CN"/>
                <w14:ligatures w14:val="none"/>
              </w:rPr>
            </m:ctrlPr>
          </m:deg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  <w14:ligatures w14:val="none"/>
              </w:rPr>
              <m:t>np</m:t>
            </m:r>
            <m:d>
              <m:dPr>
                <m:ctrlPr>
                  <m:rPr/>
                  <w:rPr>
                    <w:rFonts w:hint="default" w:ascii="Cambria Math" w:hAnsi="Cambria Math" w:cs="Times New Roman"/>
                    <w:i/>
                    <w:iCs/>
                    <w:sz w:val="21"/>
                    <w:u w:val="none"/>
                    <w:lang w:val="en-US" w:eastAsia="zh-CN"/>
                    <w14:ligatures w14:val="none"/>
                  </w:rPr>
                </m:ctrlPr>
              </m:dPr>
              <m:e>
                <m:r>
                  <m:rPr/>
                  <w:rPr>
                    <w:rFonts w:hint="default" w:ascii="Cambria Math" w:hAnsi="Cambria Math" w:cs="Times New Roman"/>
                    <w:sz w:val="21"/>
                    <w:u w:val="none"/>
                    <w:lang w:val="en-US" w:eastAsia="zh-CN"/>
                    <w14:ligatures w14:val="none"/>
                  </w:rPr>
                  <m:t>1−p</m:t>
                </m:r>
                <m:ctrlPr>
                  <m:rPr/>
                  <w:rPr>
                    <w:rFonts w:hint="default" w:ascii="Cambria Math" w:hAnsi="Cambria Math" w:cs="Times New Roman"/>
                    <w:i/>
                    <w:iCs/>
                    <w:sz w:val="21"/>
                    <w:u w:val="none"/>
                    <w:lang w:val="en-US" w:eastAsia="zh-CN"/>
                    <w14:ligatures w14:val="none"/>
                  </w:rPr>
                </m:ctrlPr>
              </m:e>
            </m:d>
            <m:ctrlPr>
              <m:rPr/>
              <w:rPr>
                <w:rFonts w:hint="default" w:ascii="Cambria Math" w:hAnsi="Cambria Math" w:cs="Times New Roman"/>
                <w:i/>
                <w:iCs/>
                <w:sz w:val="21"/>
                <w:u w:val="none"/>
                <w:lang w:val="en-US" w:eastAsia="zh-CN"/>
                <w14:ligatures w14:val="none"/>
              </w:rPr>
            </m:ctrlPr>
          </m:e>
        </m:rad>
      </m:oMath>
      <w:r>
        <m:rPr/>
        <w:rPr>
          <w:rFonts w:hint="eastAsia" w:hAnsi="Cambria Math" w:cs="Times New Roman"/>
          <w:i w:val="0"/>
          <w:iCs/>
          <w:sz w:val="21"/>
          <w:u w:val="none"/>
          <w:lang w:val="en-US" w:eastAsia="zh-CN"/>
          <w14:ligatures w14:val="none"/>
        </w:rPr>
        <w:t>.</w:t>
      </w:r>
    </w:p>
    <w:p w14:paraId="57795583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bookmarkStart w:id="0" w:name="_GoBack"/>
      <w:bookmarkEnd w:id="0"/>
    </w:p>
    <w:p w14:paraId="64D26DF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</w:p>
    <w:p w14:paraId="3A631066"/>
    <w:p w14:paraId="1130A092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82D0FC3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7" Type="http://schemas.openxmlformats.org/officeDocument/2006/relationships/fontTable" Target="fontTable.xml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2025-08-19T07:56:36Z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