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1E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32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u w:val="none"/>
          <w:lang w:val="en-US" w:eastAsia="zh-CN"/>
        </w:rPr>
        <w:t>6.1.2</w:t>
      </w:r>
      <w:r>
        <w:rPr>
          <w:rFonts w:hint="default" w:ascii="Times New Roman" w:hAnsi="Times New Roman" w:cs="Times New Roman"/>
          <w:b/>
          <w:bCs/>
          <w:sz w:val="24"/>
          <w:szCs w:val="32"/>
          <w:u w:val="none"/>
          <w:lang w:val="en-US" w:eastAsia="zh-CN"/>
        </w:rPr>
        <w:t xml:space="preserve"> 空间向量的数量积</w:t>
      </w:r>
    </w:p>
    <w:p w14:paraId="0FCD3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1.向量的夹角：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eastAsia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是空间两个非零向量，过空间任意一点O，作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OB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,</w:t>
      </w:r>
      <m:oMath>
        <m:r>
          <m:rPr>
            <m:sty m:val="bi"/>
          </m:rPr>
          <w:rPr>
            <w:rFonts w:hint="eastAsia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∠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AOB=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θ</m:t>
        </m:r>
      </m:oMath>
      <w:r>
        <w:rPr>
          <w:rFonts w:hint="eastAsia" w:hAnsi="Cambria Math" w:cs="Cambria Math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（</w:t>
      </w:r>
      <m:oMath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0≤θ≤π</m:t>
        </m:r>
      </m:oMath>
      <w:r>
        <w:rPr>
          <w:rFonts w:hint="eastAsia" w:hAnsi="Cambria Math" w:cs="Cambria Math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）叫作向量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="Cambria Math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与向量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="Cambria Math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的夹角，记作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hAnsi="Cambria Math" w:cs="Times New Roman"/>
          <w:i w:val="0"/>
          <w:iCs/>
          <w:color w:val="auto"/>
          <w:u w:val="none"/>
          <w:lang w:val="en-US" w:eastAsia="zh-CN"/>
        </w:rPr>
        <w:t>.</w:t>
      </w:r>
    </w:p>
    <w:p w14:paraId="38AA8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.数量积定义：已知两个非零向量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a，b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，则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a，b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的数量积，记作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即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.特别地，零向量与任</w:t>
      </w:r>
      <w:r>
        <w:rPr>
          <w:rFonts w:hint="eastAsia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一</w:t>
      </w:r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向量的数量积为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79002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2.空间向量的数量积满足如下的运算律：</w:t>
      </w:r>
    </w:p>
    <w:p w14:paraId="0D2C3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a)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 xml:space="preserve">        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交换律：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41D92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分配律：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(a+b)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c=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b w:val="0"/>
          <w:bCs/>
          <w:i w:val="0"/>
          <w:color w:val="0000FF"/>
          <w:kern w:val="2"/>
          <w:sz w:val="21"/>
          <w:szCs w:val="24"/>
          <w:u w:val="none"/>
          <w:lang w:val="en-US" w:eastAsia="zh-CN" w:bidi="ar-SA"/>
        </w:rPr>
        <w:t>.</w:t>
      </w:r>
    </w:p>
    <w:p w14:paraId="35C87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3.数量积的应用：</w:t>
      </w:r>
    </w:p>
    <w:p w14:paraId="129F3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①证明向量垂直：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当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a≠0</m:t>
        </m:r>
      </m:oMath>
      <w:r>
        <w:rPr>
          <w:rFonts w:hint="default" w:ascii="Times New Roman" w:hAnsi="Times New Roman" w:cs="Times New Roman"/>
          <w:b/>
          <w:i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b≠0</m:t>
        </m:r>
      </m:oMath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时，有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⊥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⟺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6120F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②求向量模长或线段长：</w:t>
      </w:r>
      <m:oMath>
        <m:sSup>
          <m:sSupPr>
            <m:ctrl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|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a</m:t>
            </m:r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|</m:t>
            </m:r>
            <m:ctrl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=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|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a||a|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cos</m:t>
        </m:r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a，a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2447A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cs="Times New Roman"/>
          <w:i w:val="0"/>
          <w:iCs/>
          <w:color w:val="auto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③求向量夹角或异面直线的夹角：</w:t>
      </w:r>
      <m:oMath>
        <m:r>
          <m:rPr>
            <m:sty m:val="p"/>
          </m:rPr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cos</m:t>
        </m:r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color w:val="auto"/>
                <w:u w:val="none"/>
                <w:lang w:val="en-US" w:eastAsia="zh-CN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a</m:t>
            </m:r>
            <m:r>
              <m:rPr/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i/>
                <w:iCs/>
                <w:color w:val="auto"/>
                <w:u w:val="none"/>
                <w:lang w:val="en-US" w:eastAsia="zh-CN"/>
              </w:rPr>
            </m:ctrlPr>
          </m:e>
        </m:d>
        <m:r>
          <m:rPr/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eastAsia" w:hAnsi="Cambria Math" w:cs="Times New Roman"/>
          <w:i w:val="0"/>
          <w:iCs/>
          <w:color w:val="auto"/>
          <w:u w:val="none"/>
          <w:lang w:val="en-US" w:eastAsia="zh-CN"/>
        </w:rPr>
        <w:t>.</w:t>
      </w:r>
    </w:p>
    <w:p w14:paraId="50E1D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cs="Times New Roman"/>
          <w:i w:val="0"/>
          <w:iCs/>
          <w:color w:val="auto"/>
          <w:u w:val="none"/>
          <w:lang w:val="en-US" w:eastAsia="zh-CN"/>
        </w:rPr>
        <w:t>4.投影向量：对于空间任意两个向量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eastAsia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="Times New Roman"/>
          <w:i w:val="0"/>
          <w:iCs/>
          <w:color w:val="auto"/>
          <w:u w:val="none"/>
          <w:lang w:val="en-US" w:eastAsia="zh-CN"/>
        </w:rPr>
        <w:t>，设向量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OB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，过点A作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⊥OB</m:t>
        </m:r>
      </m:oMath>
      <w:r>
        <w:rPr>
          <w:rFonts w:hint="eastAsia" w:hAnsi="Cambria Math" w:cs="Cambria Math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，垂足为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.上述由向量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得到向量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</m:oMath>
      <w:r>
        <w:rPr>
          <w:rFonts w:hint="eastAsia" w:hAnsi="Cambria Math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的变换称为向量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向向量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投影，向量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称为向量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在向量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上的投影向量.</w:t>
      </w:r>
    </w:p>
    <w:p w14:paraId="36837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drawing>
          <wp:inline distT="0" distB="0" distL="114300" distR="114300">
            <wp:extent cx="3128645" cy="880745"/>
            <wp:effectExtent l="0" t="0" r="0" b="14605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0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8645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1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【自主诊断】</w:t>
      </w:r>
    </w:p>
    <w:p w14:paraId="0B075213">
      <w:pPr>
        <w:shd w:val="clear" w:color="auto" w:fill="auto"/>
        <w:spacing w:line="360" w:lineRule="auto"/>
        <w:jc w:val="left"/>
        <w:textAlignment w:val="center"/>
        <w:rPr>
          <w:sz w:val="21"/>
          <w:u w:val="none"/>
        </w:rPr>
      </w:pPr>
      <w:r>
        <w:rPr>
          <w:rFonts w:hint="eastAsia"/>
          <w:sz w:val="21"/>
          <w:u w:val="none"/>
          <w:lang w:val="en-US" w:eastAsia="zh-CN"/>
        </w:rPr>
        <w:t>1.</w:t>
      </w:r>
      <w:r>
        <w:rPr>
          <w:sz w:val="21"/>
          <w:u w:val="none"/>
        </w:rPr>
        <w:t>已知四面体</w:t>
      </w:r>
      <w:r>
        <w:rPr>
          <w:u w:val="none"/>
        </w:rPr>
        <w:object>
          <v:shape id="_x0000_i1025" o:spt="75" alt="eqId5cb3f9a5da641be35117fd35ba07a6aa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7" o:title="eqId5cb3f9a5da641be35117fd35ba07a6aa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  <w:u w:val="none"/>
        </w:rPr>
        <w:t>，所有棱长均为</w:t>
      </w:r>
      <w:r>
        <w:rPr>
          <w:u w:val="none"/>
        </w:rPr>
        <w:object>
          <v:shape id="_x0000_i1026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9" o:title="eqId61128ab996360a038e6e64d82fcba004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  <w:u w:val="none"/>
        </w:rPr>
        <w:t>，点</w:t>
      </w:r>
      <w:r>
        <w:rPr>
          <w:u w:val="none"/>
        </w:rPr>
        <w:object>
          <v:shape id="_x0000_i1027" o:spt="75" alt="eqIdd3b96dce1ec94eb90c243b2eddb78476" type="#_x0000_t75" style="height:13.95pt;width:21.95pt;" o:ole="t" filled="f" o:preferrelative="t" stroked="f" coordsize="21600,21600">
            <v:path/>
            <v:fill on="f" focussize="0,0"/>
            <v:stroke on="f" joinstyle="miter"/>
            <v:imagedata r:id="rId11" o:title="eqIdd3b96dce1ec94eb90c243b2eddb7847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1"/>
          <w:u w:val="none"/>
        </w:rPr>
        <w:t>分别为棱</w:t>
      </w:r>
      <w:r>
        <w:rPr>
          <w:u w:val="none"/>
        </w:rPr>
        <w:object>
          <v:shape id="_x0000_i1028" o:spt="75" alt="eqIdda988eac2b646bd694e50e6a58f61c7d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13" o:title="eqIdda988eac2b646bd694e50e6a58f61c7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1"/>
          <w:u w:val="none"/>
        </w:rPr>
        <w:t>的中点，则</w:t>
      </w:r>
      <w:r>
        <w:rPr>
          <w:u w:val="none"/>
        </w:rPr>
        <w:object>
          <v:shape id="_x0000_i1029" o:spt="75" alt="eqId91b3df70f81a741e27ea5d3a445026d3" type="#_x0000_t75" style="height:15.25pt;width:45.7pt;" o:ole="t" filled="f" o:preferrelative="t" stroked="f" coordsize="21600,21600">
            <v:path/>
            <v:fill on="f" focussize="0,0"/>
            <v:stroke on="f" joinstyle="miter"/>
            <v:imagedata r:id="rId15" o:title="eqId91b3df70f81a741e27ea5d3a445026d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1"/>
          <w:u w:val="none"/>
        </w:rPr>
        <w:t xml:space="preserve">( </w:t>
      </w:r>
      <w:r>
        <w:rPr>
          <w:rFonts w:hint="eastAsia"/>
          <w:sz w:val="21"/>
          <w:u w:val="none"/>
          <w:lang w:val="en-US" w:eastAsia="zh-CN"/>
        </w:rPr>
        <w:t xml:space="preserve">  </w:t>
      </w:r>
      <w:r>
        <w:rPr>
          <w:sz w:val="21"/>
          <w:u w:val="none"/>
        </w:rPr>
        <w:t>)</w:t>
      </w:r>
    </w:p>
    <w:p w14:paraId="76968D75">
      <w:pPr>
        <w:shd w:val="clear" w:color="auto" w:fill="auto"/>
        <w:spacing w:line="360" w:lineRule="auto"/>
        <w:jc w:val="left"/>
        <w:textAlignment w:val="center"/>
        <w:rPr>
          <w:lang w:val="en-US" w:eastAsia="zh-CN"/>
        </w:rPr>
      </w:pPr>
      <w:r>
        <w:rPr>
          <w:sz w:val="21"/>
          <w:u w:val="none"/>
        </w:rPr>
        <w:t>A．</w:t>
      </w:r>
      <w:r>
        <w:rPr>
          <w:u w:val="none"/>
        </w:rPr>
        <w:object>
          <v:shape id="_x0000_i1030" o:spt="75" alt="eqIdbdaa19de263700a15fcf213d64a8cd57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7" o:title="eqIdbdaa19de263700a15fcf213d64a8cd5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sz w:val="21"/>
          <w:u w:val="none"/>
        </w:rPr>
        <w:t xml:space="preserve"> </w:t>
      </w:r>
      <w:r>
        <w:rPr>
          <w:rFonts w:hint="eastAsia"/>
          <w:sz w:val="21"/>
          <w:u w:val="none"/>
          <w:lang w:val="en-US" w:eastAsia="zh-CN"/>
        </w:rPr>
        <w:t xml:space="preserve">  </w:t>
      </w:r>
      <w:r>
        <w:rPr>
          <w:sz w:val="21"/>
          <w:u w:val="none"/>
        </w:rPr>
        <w:t>B．</w:t>
      </w:r>
      <w:r>
        <w:rPr>
          <w:u w:val="none"/>
        </w:rPr>
        <w:object>
          <v:shape id="_x0000_i1031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9" o:title="eqId61128ab996360a038e6e64d82fcba00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1"/>
          <w:u w:val="none"/>
        </w:rPr>
        <w:t xml:space="preserve"> </w:t>
      </w:r>
      <w:r>
        <w:rPr>
          <w:rFonts w:hint="eastAsia"/>
          <w:sz w:val="21"/>
          <w:u w:val="none"/>
          <w:lang w:val="en-US" w:eastAsia="zh-CN"/>
        </w:rPr>
        <w:t xml:space="preserve">   </w:t>
      </w:r>
      <w:r>
        <w:rPr>
          <w:sz w:val="21"/>
          <w:u w:val="none"/>
        </w:rPr>
        <w:t>C．</w:t>
      </w:r>
      <w:r>
        <w:rPr>
          <w:u w:val="none"/>
        </w:rPr>
        <w:object>
          <v:shape id="_x0000_i1032" o:spt="75" alt="eqId29418e5014731850c55565b6bf47aa41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20" o:title="eqId29418e5014731850c55565b6bf47aa41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sz w:val="21"/>
          <w:u w:val="none"/>
        </w:rPr>
        <w:t xml:space="preserve"> D．</w:t>
      </w:r>
      <w:r>
        <w:rPr>
          <w:u w:val="none"/>
        </w:rPr>
        <w:object>
          <v:shape id="_x0000_i1033" o:spt="75" alt="eqIdb74eb8a7738402df52d4a97262b85ca0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22" o:title="eqIdb74eb8a7738402df52d4a97262b85ca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bookmarkStart w:id="0" w:name="_GoBack"/>
      <w:bookmarkEnd w:id="0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4302760</wp:posOffset>
            </wp:positionH>
            <wp:positionV relativeFrom="paragraph">
              <wp:posOffset>168910</wp:posOffset>
            </wp:positionV>
            <wp:extent cx="1238250" cy="1114425"/>
            <wp:effectExtent l="0" t="0" r="0" b="9525"/>
            <wp:wrapSquare wrapText="bothSides"/>
            <wp:docPr id="4" name="图片 4" descr="@@@d487bee5d6ac483aa9cec5e8ab1ae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@@@d487bee5d6ac483aa9cec5e8ab1ae155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C6433FE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4832702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518</Characters>
  <Lines>0</Lines>
  <Paragraphs>0</Paragraphs>
  <TotalTime>1</TotalTime>
  <ScaleCrop>false</ScaleCrop>
  <LinksUpToDate>false</LinksUpToDate>
  <CharactersWithSpaces>543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