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8.1.2 全概率公式+8.1.3 贝叶斯公式</w:t>
      </w:r>
    </w:p>
    <w:p w14:paraId="205F2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1.全概率公式</w:t>
      </w:r>
    </w:p>
    <w:p w14:paraId="7DEC4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若事件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25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两两互斥，且它们的和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26" o:spt="75" alt="eqId135922325a74ceabf4ebd178b96bc477" type="#_x0000_t75" style="height:30pt;width:44.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27" o:spt="75" alt="eqId135922325a74ceabf4ebd178b96bc477" type="#_x0000_t75" style="height:17.65pt;width:103.0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则对于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28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中的任意事件B，有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29" o:spt="75" alt="eqId135922325a74ceabf4ebd178b96bc477" type="#_x0000_t75" style="height:30pt;width:116.4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这个公式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称为全概率公式.</w:t>
      </w:r>
    </w:p>
    <w:p w14:paraId="6D68E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2.运用全概率公式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的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步骤</w:t>
      </w:r>
    </w:p>
    <w:p w14:paraId="6D1B9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（1）求出样本空间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0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的一个划分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1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</w:t>
      </w:r>
    </w:p>
    <w:p w14:paraId="55866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（2）求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2" o:spt="75" alt="eqId135922325a74ceabf4ebd178b96bc477" type="#_x0000_t75" style="height:17.65pt;width:87.2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</w:t>
      </w:r>
    </w:p>
    <w:p w14:paraId="201A8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（3）求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3" o:spt="75" alt="eqId135922325a74ceabf4ebd178b96bc477" type="#_x0000_t75" style="height:17.65pt;width:100.6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</w:t>
      </w:r>
    </w:p>
    <w:p w14:paraId="35A75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（4）求目标事件的概率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4" o:spt="75" alt="eqId135922325a74ceabf4ebd178b96bc477" type="#_x0000_t75" style="height:17.65pt;width:26.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</w:t>
      </w:r>
    </w:p>
    <w:p w14:paraId="22CD5712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3.贝叶斯公式</w:t>
      </w:r>
    </w:p>
    <w:p w14:paraId="7A15C33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设</w:t>
      </w:r>
      <w:r>
        <w:rPr>
          <w:rFonts w:ascii="Times New Roman" w:hAnsi="Times New Roman" w:eastAsia="宋体" w:cs="Times New Roman"/>
          <w:bCs/>
          <w:position w:val="-12"/>
          <w:sz w:val="21"/>
          <w:szCs w:val="21"/>
          <w14:ligatures w14:val="none"/>
        </w:rPr>
        <w:object>
          <v:shape id="_x0000_i1035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为样本空间</w:t>
      </w:r>
      <w:r>
        <w:rPr>
          <w:rFonts w:ascii="Times New Roman" w:hAnsi="Times New Roman" w:eastAsia="宋体" w:cs="Times New Roman"/>
          <w:bCs/>
          <w:position w:val="-4"/>
          <w:sz w:val="21"/>
          <w:szCs w:val="21"/>
          <w14:ligatures w14:val="none"/>
        </w:rPr>
        <w:object>
          <v:shape id="_x0000_i1036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的一个划分，若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7" o:spt="75" alt="eqId135922325a74ceabf4ebd178b96bc477" type="#_x0000_t75" style="height:17.65pt;width:39.8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8" o:spt="75" alt="eqId135922325a74ceabf4ebd178b96bc477" type="#_x0000_t75" style="height:17.65pt;width:104.9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，则</w:t>
      </w:r>
    </w:p>
    <w:p w14:paraId="2FF00029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，称为贝叶斯公式.</w:t>
      </w:r>
    </w:p>
    <w:p w14:paraId="2542E842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【自我诊断】</w:t>
      </w:r>
    </w:p>
    <w:p w14:paraId="12D4EAC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14:ligatures w14:val="none"/>
        </w:rPr>
        <w:t>1</w:t>
      </w:r>
      <w:r>
        <w:rPr>
          <w:rFonts w:ascii="Calibri" w:hAnsi="Calibri" w:eastAsia="宋体" w:cs="Times New Roman"/>
          <w:sz w:val="21"/>
          <w:szCs w:val="21"/>
          <w14:ligatures w14:val="none"/>
        </w:rPr>
        <w:t>．现有10个球，其中5个球由甲工厂生产，3个球由乙工厂生产，2个球由丙工厂生产．这三个工厂生产该类产品的合格率依次是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0" o:spt="75" alt="eqId66577f4cb97c0d2a213ab1a9a02d1324" type="#_x0000_t75" style="height:13.1pt;width:15.8pt;" o:ole="t" filled="f" o:preferrelative="t" stroked="f" coordsize="21600,21600">
            <v:path/>
            <v:fill on="f" focussize="0,0"/>
            <v:stroke on="f" joinstyle="miter"/>
            <v:imagedata r:id="rId32" o:title="eqId66577f4cb97c0d2a213ab1a9a02d1324"/>
            <o:lock v:ext="edit" aspectratio="t"/>
            <w10:wrap type="none"/>
            <w10:anchorlock/>
          </v:shape>
          <o:OLEObject Type="Embed" ProgID="Equation.DSMT4" ShapeID="_x0000_i1040" DrawAspect="Content" ObjectID="_1468075739" r:id="rId3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，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1" o:spt="75" alt="eqId52dbd64028ab37a28942a961993ad21d" type="#_x0000_t75" style="height:12.05pt;width:16.6pt;" o:ole="t" filled="f" o:preferrelative="t" stroked="f" coordsize="21600,21600">
            <v:path/>
            <v:fill on="f" focussize="0,0"/>
            <v:stroke on="f" joinstyle="miter"/>
            <v:imagedata r:id="rId34" o:title="eqId52dbd64028ab37a28942a961993ad21d"/>
            <o:lock v:ext="edit" aspectratio="t"/>
            <w10:wrap type="none"/>
            <w10:anchorlock/>
          </v:shape>
          <o:OLEObject Type="Embed" ProgID="Equation.DSMT4" ShapeID="_x0000_i1041" DrawAspect="Content" ObjectID="_1468075740" r:id="rId3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，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2" o:spt="75" alt="eqId29ee5940db3eca3be22205d12bae26e0" type="#_x0000_t75" style="height:12.3pt;width:16.6pt;" o:ole="t" filled="f" o:preferrelative="t" stroked="f" coordsize="21600,21600">
            <v:path/>
            <v:fill on="f" focussize="0,0"/>
            <v:stroke on="f" joinstyle="miter"/>
            <v:imagedata r:id="rId36" o:title="eqId29ee5940db3eca3be22205d12bae26e0"/>
            <o:lock v:ext="edit" aspectratio="t"/>
            <w10:wrap type="none"/>
            <w10:anchorlock/>
          </v:shape>
          <o:OLEObject Type="Embed" ProgID="Equation.DSMT4" ShapeID="_x0000_i1042" DrawAspect="Content" ObjectID="_1468075741" r:id="rId3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．现从这10个球中任取1个球，设事件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3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38" o:title="eqId7f9e8449aad35c5d840a3395ea86df6d"/>
            <o:lock v:ext="edit" aspectratio="t"/>
            <w10:wrap type="none"/>
            <w10:anchorlock/>
          </v:shape>
          <o:OLEObject Type="Embed" ProgID="Equation.DSMT4" ShapeID="_x0000_i1043" DrawAspect="Content" ObjectID="_1468075742" r:id="rId3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为“取得的球是合格品”，事件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4" o:spt="75" alt="eqIdd6fa157b4f65f3a9aa1f7f82de02e99e" type="#_x0000_t75" style="height:16.05pt;width:40.4pt;" o:ole="t" filled="f" o:preferrelative="t" stroked="f" coordsize="21600,21600">
            <v:path/>
            <v:fill on="f" focussize="0,0"/>
            <v:stroke on="f" joinstyle="miter"/>
            <v:imagedata r:id="rId40" o:title="eqIdd6fa157b4f65f3a9aa1f7f82de02e99e"/>
            <o:lock v:ext="edit" aspectratio="t"/>
            <w10:wrap type="none"/>
            <w10:anchorlock/>
          </v:shape>
          <o:OLEObject Type="Embed" ProgID="Equation.DSMT4" ShapeID="_x0000_i1044" DrawAspect="Content" ObjectID="_1468075743" r:id="rId3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分别表示“取得的球是甲、乙、丙三个工厂生产的”．</w:t>
      </w:r>
    </w:p>
    <w:p w14:paraId="0D3F434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(1)求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5" o:spt="75" alt="eqId698b1cae01baecaa4f61b37b1367b4be" type="#_x0000_t75" style="height:15.8pt;width:65.05pt;" o:ole="t" filled="f" o:preferrelative="t" stroked="f" coordsize="21600,21600">
            <v:path/>
            <v:fill on="f" focussize="0,0"/>
            <v:stroke on="f" joinstyle="miter"/>
            <v:imagedata r:id="rId42" o:title="eqId698b1cae01baecaa4f61b37b1367b4be"/>
            <o:lock v:ext="edit" aspectratio="t"/>
            <w10:wrap type="none"/>
            <w10:anchorlock/>
          </v:shape>
          <o:OLEObject Type="Embed" ProgID="Equation.DSMT4" ShapeID="_x0000_i1045" DrawAspect="Content" ObjectID="_1468075744" r:id="rId4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；</w:t>
      </w:r>
    </w:p>
    <w:p w14:paraId="4F05187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(2)求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6" o:spt="75" alt="eqIdb459aa38bd06fa9b5b0412c51121dd48" type="#_x0000_t75" style="height:13.9pt;width:24.6pt;" o:ole="t" filled="f" o:preferrelative="t" stroked="f" coordsize="21600,21600">
            <v:path/>
            <v:fill on="f" focussize="0,0"/>
            <v:stroke on="f" joinstyle="miter"/>
            <v:imagedata r:id="rId44" o:title="eqIdb459aa38bd06fa9b5b0412c51121dd48"/>
            <o:lock v:ext="edit" aspectratio="t"/>
            <w10:wrap type="none"/>
            <w10:anchorlock/>
          </v:shape>
          <o:OLEObject Type="Embed" ProgID="Equation.DSMT4" ShapeID="_x0000_i1046" DrawAspect="Content" ObjectID="_1468075745" r:id="rId4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．</w:t>
      </w:r>
    </w:p>
    <w:p w14:paraId="76968D75">
      <w:pPr>
        <w:tabs>
          <w:tab w:val="left" w:pos="5510"/>
        </w:tabs>
        <w:bidi w:val="0"/>
        <w:jc w:val="left"/>
        <w:rPr>
          <w:sz w:val="21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66462F0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8F66BCE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5" Type="http://schemas.openxmlformats.org/officeDocument/2006/relationships/fontTable" Target="fontTable.xml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315</Characters>
  <Lines>0</Lines>
  <Paragraphs>0</Paragraphs>
  <TotalTime>0</TotalTime>
  <ScaleCrop>false</ScaleCrop>
  <LinksUpToDate>false</LinksUpToDate>
  <CharactersWithSpaces>317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