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6.3.2 空间线面关系的判定</w:t>
      </w:r>
    </w:p>
    <w:p w14:paraId="32C968CB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b/>
          <w:sz w:val="21"/>
          <w:u w:val="none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sz w:val="21"/>
          <w:u w:val="none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sz w:val="21"/>
          <w:u w:val="none"/>
        </w:rPr>
        <w:t xml:space="preserve">判定空间中的平行关系 </w:t>
      </w:r>
    </w:p>
    <w:p w14:paraId="508A4155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线线平行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4CD6B20C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的方向向量分别是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/>
          <w:bCs/>
          <w:i/>
          <w:iCs/>
          <w:sz w:val="21"/>
          <w:u w:val="none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即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∃</m:t>
        </m:r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λ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∈</m:t>
        </m:r>
      </m:oMath>
      <w:r>
        <w:rPr>
          <w:rFonts w:hint="default" w:ascii="Times New Roman" w:hAnsi="Times New Roman" w:cs="Times New Roman"/>
          <w:b/>
          <w:bCs/>
          <w:color w:val="auto"/>
          <w:u w:val="none"/>
          <w:lang w:val="en-US" w:eastAsia="zh-CN"/>
        </w:rPr>
        <w:t>R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,使得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i w:val="0"/>
          <w:sz w:val="21"/>
          <w:u w:val="none"/>
          <w:lang w:val="en-US" w:eastAsia="zh-CN"/>
        </w:rPr>
        <w:t>.</w:t>
      </w:r>
    </w:p>
    <w:p w14:paraId="19551934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线面平行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444C22F9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</w:rPr>
        <w:t>设直线的方向向量是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l||α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，即</w:t>
      </w:r>
      <m:oMath>
        <m:r>
          <m:rPr/>
          <w:rPr>
            <w:rFonts w:hint="default" w:ascii="Cambria Math" w:hAnsi="Cambria Math" w:eastAsia="宋体" w:cs="Times New Roman"/>
            <w:u w:val="single"/>
          </w:rPr>
          <m:t>l||α⟺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  <m:r>
          <m:rPr/>
          <w:rPr>
            <w:rFonts w:hint="default" w:ascii="Cambria Math" w:hAnsi="Cambria Math" w:eastAsia="宋体" w:cs="Times New Roman"/>
            <w:u w:val="none"/>
          </w:rPr>
          <m:t>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12C05D85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>面面平行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1C25141D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b w:val="0"/>
          <w:i w:val="0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若平面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β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eastAsia="宋体" w:cs="Times New Roman"/>
            <w:u w:val="none"/>
          </w:rPr>
          <m:t>，</m:t>
        </m:r>
      </m:oMath>
      <w:r>
        <w:rPr>
          <w:rFonts w:hint="default" w:ascii="Times New Roman" w:hAnsi="Times New Roman" w:cs="Times New Roman"/>
          <w:sz w:val="21"/>
          <w:u w:val="none"/>
        </w:rPr>
        <w:t>要证</w:t>
      </w:r>
      <m:oMath>
        <m:r>
          <m:rPr>
            <m:sty m:val="p"/>
          </m:rPr>
          <w:rPr>
            <w:rFonts w:hint="default" w:ascii="Cambria Math" w:hAnsi="Cambria Math" w:cs="Times New Roman"/>
            <w:sz w:val="21"/>
            <w:u w:val="none"/>
          </w:rPr>
          <m:t>α∥β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，即证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宋体" w:cs="Times New Roman"/>
            <w:u w:val="none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u w:val="none"/>
              </w:rPr>
              <m:t>λ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i w:val="0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i w:val="0"/>
          <w:u w:val="none"/>
          <w:lang w:val="en-US" w:eastAsia="zh-CN"/>
        </w:rPr>
        <w:t>则</w:t>
      </w:r>
      <m:oMath>
        <m:r>
          <m:rPr>
            <m:sty m:val="p"/>
          </m:rPr>
          <w:rPr>
            <w:rFonts w:hint="default" w:ascii="Cambria Math" w:hAnsi="Cambria Math" w:cs="Times New Roman"/>
            <w:sz w:val="21"/>
            <w:u w:val="none"/>
          </w:rPr>
          <m:t>α∥β</m:t>
        </m:r>
        <m:r>
          <m:rPr/>
          <w:rPr>
            <w:rFonts w:hint="default" w:ascii="Cambria Math" w:hAnsi="Cambria Math" w:eastAsia="宋体" w:cs="Times New Roman"/>
            <w:u w:val="none"/>
          </w:rPr>
          <m:t>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  <m:r>
          <m:rPr/>
          <w:rPr>
            <w:rFonts w:hint="default" w:ascii="Cambria Math" w:hAnsi="Cambria Math" w:eastAsia="宋体" w:cs="Times New Roman"/>
            <w:u w:val="none"/>
          </w:rPr>
          <m:t>⟺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∃</m:t>
        </m:r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λ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∈</m:t>
        </m:r>
      </m:oMath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R,使得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i w:val="0"/>
          <w:sz w:val="21"/>
          <w:u w:val="none"/>
          <w:lang w:eastAsia="zh-CN"/>
        </w:rPr>
        <w:t>.</w:t>
      </w:r>
    </w:p>
    <w:p w14:paraId="19A77009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b/>
          <w:sz w:val="21"/>
          <w:u w:val="none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sz w:val="21"/>
          <w:u w:val="none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sz w:val="21"/>
          <w:u w:val="none"/>
        </w:rPr>
        <w:t xml:space="preserve">判定空间的垂直关系 </w:t>
      </w:r>
    </w:p>
    <w:p w14:paraId="68ED4851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线线垂直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19BC47B5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的方向向量分别是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/>
              </w:rPr>
              <m:t>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，即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</w:rPr>
              <m:t>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i w:val="0"/>
          <w:sz w:val="21"/>
          <w:u w:val="none"/>
          <w:lang w:val="en-US" w:eastAsia="zh-CN"/>
        </w:rPr>
        <w:t>.</w:t>
      </w:r>
    </w:p>
    <w:p w14:paraId="03A1FCAD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线面垂直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418BA68A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方法一：</w:t>
      </w: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的方向向量是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  <m:r>
          <m:rPr/>
          <w:rPr>
            <w:rFonts w:hint="default" w:ascii="Cambria Math" w:hAnsi="Cambria Math" w:eastAsia="宋体" w:cs="Times New Roman"/>
            <w:u w:val="none"/>
          </w:rPr>
          <m:t>，</m:t>
        </m:r>
      </m:oMath>
      <w:r>
        <w:rPr>
          <w:rFonts w:hint="default" w:ascii="Times New Roman" w:hAnsi="Times New Roman" w:cs="Times New Roman"/>
          <w:sz w:val="21"/>
          <w:u w:val="none"/>
        </w:rPr>
        <w:t>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  <m:r>
          <m:rPr/>
          <w:rPr>
            <w:rFonts w:hint="default" w:ascii="Cambria Math" w:hAnsi="Cambria Math" w:cs="Times New Roman"/>
            <w:u w:val="none"/>
          </w:rPr>
          <m:t>⊥</m:t>
        </m:r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  <m:r>
          <m:rPr/>
          <w:rPr>
            <w:rFonts w:hint="default" w:ascii="Cambria Math" w:hAnsi="Cambria Math" w:eastAsia="宋体" w:cs="Times New Roman"/>
            <w:u w:val="none"/>
          </w:rPr>
          <m:t>||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，即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  <m:r>
          <m:rPr>
            <m:sty m:val="bi"/>
          </m:rPr>
          <w:rPr>
            <w:rFonts w:hint="default" w:ascii="Cambria Math" w:hAnsi="Cambria Math" w:eastAsia="宋体" w:cs="Times New Roman"/>
            <w:u w:val="none"/>
            <w:lang w:val="en-US" w:eastAsia="zh-CN"/>
          </w:rPr>
          <m:t>=</m:t>
        </m:r>
        <m:r>
          <m:rPr/>
          <w:rPr>
            <w:rFonts w:hint="default" w:ascii="Cambria Math" w:hAnsi="Cambria Math" w:eastAsia="宋体" w:cs="Times New Roman"/>
            <w:u w:val="none"/>
            <w:lang w:val="en-US" w:eastAsia="zh-CN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5F36DBE4">
      <w:pPr>
        <w:shd w:val="clear" w:color="auto" w:fill="auto"/>
        <w:spacing w:line="360" w:lineRule="auto"/>
        <w:jc w:val="left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方法二：</w:t>
      </w: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的方向向量是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内的两个相交向量分别为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若</w:t>
      </w:r>
      <m:oMath>
        <m:d>
          <m:dPr>
            <m:begChr m:val="{"/>
            <m:endChr m:val=" "/>
            <m:ctrlPr>
              <w:rPr>
                <w:rFonts w:hint="default" w:ascii="Cambria Math" w:hAnsi="Cambria Math" w:cs="Times New Roman"/>
                <w:u w:val="none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qArr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u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eastAsia="zh-CN"/>
                  </w:rPr>
                  <m:t>，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u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eastAsia="zh-CN"/>
                  </w:rPr>
                  <m:t>，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u w:val="none"/>
              </w:rPr>
            </m:ctrlPr>
          </m:e>
        </m:d>
      </m:oMath>
      <w:r>
        <w:rPr>
          <w:rFonts w:hint="default" w:ascii="Times New Roman" w:hAnsi="Times New Roman" w:cs="Times New Roman"/>
          <w:i w:val="0"/>
          <w:u w:val="none"/>
          <w:lang w:val="en-US" w:eastAsia="zh-CN"/>
        </w:rPr>
        <w:t>则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  <m:r>
          <m:rPr/>
          <w:rPr>
            <w:rFonts w:hint="default" w:ascii="Cambria Math" w:hAnsi="Cambria Math" w:cs="Times New Roman"/>
            <w:u w:val="none"/>
          </w:rPr>
          <m:t>⊥</m:t>
        </m:r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eastAsia="宋体" w:cs="Times New Roman"/>
          <w:i w:val="0"/>
          <w:u w:val="none"/>
          <w:lang w:val="en-US" w:eastAsia="zh-CN"/>
        </w:rPr>
        <w:t>.</w:t>
      </w:r>
    </w:p>
    <w:p w14:paraId="2B56AFB6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>面面垂直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03ADA42B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若平面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β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，要证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α⊥β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，即证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0D806172"/>
    <w:p w14:paraId="2F6C3BA4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E40693D"/>
    <w:rsid w:val="1C780915"/>
    <w:rsid w:val="1DA57103"/>
    <w:rsid w:val="206A1A28"/>
    <w:rsid w:val="209B03B1"/>
    <w:rsid w:val="20A97897"/>
    <w:rsid w:val="22CE6212"/>
    <w:rsid w:val="26436653"/>
    <w:rsid w:val="27031B2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486</Characters>
  <Lines>0</Lines>
  <Paragraphs>0</Paragraphs>
  <TotalTime>1</TotalTime>
  <ScaleCrop>false</ScaleCrop>
  <LinksUpToDate>false</LinksUpToDate>
  <CharactersWithSpaces>490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