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7.4 二项式定理</w:t>
      </w:r>
    </w:p>
    <w:p w14:paraId="2262F682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7.4.1 二项式定理</w:t>
      </w:r>
    </w:p>
    <w:p w14:paraId="10D47AF6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</w:t>
      </w:r>
      <w:r>
        <w:rPr>
          <w:rFonts w:ascii="Times New Roman" w:hAnsi="Times New Roman" w:eastAsia="宋体" w:cs="Times New Roman"/>
          <w:sz w:val="21"/>
          <w14:ligatures w14:val="none"/>
        </w:rPr>
        <w:t>二项式定理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:</w:t>
      </w:r>
    </w:p>
    <w:p w14:paraId="427DEAEF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公式</w: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25" o:spt="75" alt="eqId8a9e963e07a7de960ca8963b141b1d57" type="#_x0000_t75" style="height:19.1pt;width:202.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6"/>
          <w:sz w:val="21"/>
          <w14:ligatures w14:val="none"/>
        </w:rPr>
        <w:object>
          <v:shape id="_x0000_i1026" o:spt="75" alt="eqId9e362d61c4b8b67d033ef549ade99b51" type="#_x0000_t75" style="height:19.1pt;width:60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</w:p>
    <w:p w14:paraId="73AABC2C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可以简写成</w:t>
      </w:r>
      <w:r>
        <w:rPr>
          <w:rFonts w:ascii="Times New Roman" w:hAnsi="Times New Roman" w:eastAsia="宋体" w:cs="Times New Roman"/>
          <w:position w:val="-28"/>
          <w:sz w:val="21"/>
          <w14:ligatures w14:val="none"/>
        </w:rPr>
        <w:object>
          <v:shape id="_x0000_i1027" o:spt="75" alt="eqId8a9e963e07a7de960ca8963b141b1d57" type="#_x0000_t75" style="height:29.75pt;width:95.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</w:t>
      </w:r>
    </w:p>
    <w:p w14:paraId="7801CCA8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二项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展开式：等号</w:t>
      </w:r>
      <w:r>
        <w:rPr>
          <w:rFonts w:ascii="Times New Roman" w:hAnsi="Times New Roman" w:eastAsia="宋体" w:cs="Times New Roman"/>
          <w:sz w:val="21"/>
          <w14:ligatures w14:val="none"/>
        </w:rPr>
        <w:t>右边的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式子叫作</w: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28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的二项展开式，一共有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1"/>
          <w14:ligatures w14:val="none"/>
        </w:rPr>
        <w:t>项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。</w:t>
      </w:r>
    </w:p>
    <w:p w14:paraId="78153FCA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3.二项式系数：</w:t>
      </w:r>
      <w:r>
        <w:rPr>
          <w:rFonts w:ascii="Times New Roman" w:hAnsi="Times New Roman" w:eastAsia="宋体" w:cs="Times New Roman"/>
          <w:sz w:val="21"/>
          <w14:ligatures w14:val="none"/>
        </w:rPr>
        <w:t>各项的系数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9" o:spt="75" alt="eqId135922325a74ceabf4ebd178b96bc477" type="#_x0000_t75" style="height:16.9pt;width:14.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30" o:spt="75" alt="eqId4d1980464dbb6f9295f587819564327c" type="#_x0000_t75" style="height:17.85pt;width:112.8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第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项的</w:t>
      </w:r>
      <w:r>
        <w:rPr>
          <w:rFonts w:ascii="Times New Roman" w:hAnsi="Times New Roman" w:eastAsia="宋体" w:cs="Times New Roman"/>
          <w:sz w:val="21"/>
          <w14:ligatures w14:val="none"/>
        </w:rPr>
        <w:t>二项式系数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。</w:t>
      </w:r>
    </w:p>
    <w:p w14:paraId="623D24D6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4.二项式通项：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1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展开式的第</w:t>
      </w:r>
      <w:r>
        <w:rPr>
          <w:rFonts w:hint="eastAsia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r</w:t>
      </w:r>
      <w:r>
        <w:rPr>
          <w:rFonts w:ascii="Times New Roman" w:hAnsi="Times New Roman" w:eastAsia="宋体" w:cs="Times New Roman"/>
          <w:sz w:val="21"/>
          <w14:ligatures w14:val="none"/>
        </w:rPr>
        <w:t>+1项，可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记作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32" o:spt="75" alt="eqIde589fba3941a40876f9ad44e3f9b7ba9" type="#_x0000_t75" style="height:16.1pt;width:26.4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20184646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</w:p>
    <w:p w14:paraId="59986955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</w:p>
    <w:p w14:paraId="6AABD8BD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7.4.2二项式系数的性质及应用</w:t>
      </w:r>
    </w:p>
    <w:p w14:paraId="703175F7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1.杨辉三角：</w:t>
      </w:r>
    </w:p>
    <w:p w14:paraId="3487836F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·························1    1</w:t>
      </w:r>
    </w:p>
    <w:p w14:paraId="4DCA1928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·······················1   2    1</w:t>
      </w:r>
    </w:p>
    <w:p w14:paraId="5D33F995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3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····················1   3    3     1</w:t>
      </w:r>
    </w:p>
    <w:p w14:paraId="2DFAB21B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4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··················1   4   6     4     1</w:t>
      </w:r>
    </w:p>
    <w:p w14:paraId="058F7BA5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5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················1   5   10    10    5    1</w:t>
      </w:r>
    </w:p>
    <w:p w14:paraId="6C872781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6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··············1   6   15    20    15   6     1</w:t>
      </w:r>
    </w:p>
    <w:p w14:paraId="18037368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 xml:space="preserve">                                  ······</w:t>
      </w:r>
    </w:p>
    <w:p w14:paraId="576F13DA">
      <w:pPr>
        <w:spacing w:after="0" w:line="36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（1）在同一行中，每行两端都是1，与这两个1等距离的项的系数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mbria Math" w:eastAsia="宋体" w:cs="Times New Roman"/>
          <w:sz w:val="21"/>
          <w14:ligatures w14:val="none"/>
        </w:rPr>
        <w:t>；</w:t>
      </w:r>
    </w:p>
    <w:p w14:paraId="5B597F70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（2）在相邻的两行中，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除1以外的每一个数都等于它“肩上”的两个数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，即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4" o:spt="75" alt="eqIdd95ce46fc3e252ee19d88c84e4fac39d" type="#_x0000_t75" style="height:16.3pt;width:68.5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</w:t>
      </w:r>
    </w:p>
    <w:p w14:paraId="137AE573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2.二项式系数的性质</w:t>
      </w:r>
    </w:p>
    <w:p w14:paraId="72C11CD1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1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）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35" o:spt="75" alt="eqIdd95ce46fc3e252ee19d88c84e4fac39d" type="#_x0000_t75" style="height:16.3pt;width:45.7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；</w:t>
      </w:r>
    </w:p>
    <w:p w14:paraId="4336F5B1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）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36" o:spt="75" alt="eqIdd95ce46fc3e252ee19d88c84e4fac39d" type="#_x0000_t75" style="height:16.3pt;width:71.2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；</w:t>
      </w:r>
    </w:p>
    <w:p w14:paraId="6CC1269F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）增减性：当</w:t>
      </w:r>
      <m:oMath>
        <m:r>
          <m:rPr>
            <m:sty m:val="p"/>
          </m:rPr>
          <w:rPr>
            <w:rFonts w:hint="default" w:ascii="Times New Roman" w:hAnsi="Times New Roman" w:eastAsia="宋体" w:cs="Times New Roman"/>
            <w:sz w:val="21"/>
            <w:lang w:val="en-US" w:eastAsia="zh-CN"/>
            <w14:ligatures w14:val="none"/>
          </w:rPr>
          <m:t>r</m:t>
        </m:r>
        <m:r>
          <m:rPr>
            <m:sty m:val="p"/>
          </m:rPr>
          <w:rPr>
            <w:rFonts w:hint="eastAsia" w:ascii="Times New Roman" w:hAnsi="Times New Roman" w:eastAsia="宋体" w:cs="Times New Roman"/>
            <w:sz w:val="21"/>
            <w14:ligatures w14:val="none"/>
          </w:rPr>
          <m:t>&lt;</m:t>
        </m:r>
        <m:f>
          <m:fPr>
            <m:ctrlPr>
              <w:rPr>
                <w:rFonts w:hint="eastAsia" w:ascii="Cambria Math" w:hAnsi="Cambria Math" w:eastAsia="宋体" w:cs="Times New Roman"/>
                <w:sz w:val="21"/>
                <w14:ligatures w14:val="none"/>
              </w:rPr>
            </m:ctrlPr>
          </m:fPr>
          <m:num>
            <m:r>
              <m:rPr>
                <m:sty m:val="p"/>
              </m:rPr>
              <w:rPr>
                <w:rFonts w:hint="eastAsia" w:ascii="Times New Roman" w:hAnsi="Times New Roman" w:eastAsia="宋体" w:cs="Times New Roman"/>
                <w:sz w:val="21"/>
                <w14:ligatures w14:val="none"/>
              </w:rPr>
              <m:t>n</m:t>
            </m:r>
            <m:r>
              <m:rPr>
                <m:sty m:val="p"/>
              </m:rPr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  <m:t>−</m:t>
            </m:r>
            <m:r>
              <m:rPr>
                <m:sty m:val="p"/>
              </m:rPr>
              <w:rPr>
                <w:rFonts w:hint="eastAsia" w:ascii="Times New Roman" w:hAnsi="Times New Roman" w:eastAsia="宋体" w:cs="Times New Roman"/>
                <w:sz w:val="21"/>
                <w14:ligatures w14:val="none"/>
              </w:rPr>
              <m:t>1</m:t>
            </m:r>
            <m:ctrlPr>
              <w:rPr>
                <w:rFonts w:hint="eastAsia" w:ascii="Cambria Math" w:hAnsi="Cambria Math" w:eastAsia="宋体" w:cs="Times New Roman"/>
                <w:sz w:val="21"/>
                <w14:ligatures w14:val="none"/>
              </w:rPr>
            </m:ctrlPr>
          </m:num>
          <m:den>
            <m:r>
              <m:rPr>
                <m:sty m:val="p"/>
              </m:rPr>
              <w:rPr>
                <w:rFonts w:hint="eastAsia" w:ascii="Times New Roman" w:hAnsi="Times New Roman" w:eastAsia="宋体" w:cs="Times New Roman"/>
                <w:sz w:val="21"/>
                <w14:ligatures w14:val="none"/>
              </w:rPr>
              <m:t>2</m:t>
            </m:r>
            <m:ctrlPr>
              <w:rPr>
                <w:rFonts w:hint="eastAsia" w:ascii="Cambria Math" w:hAnsi="Cambria Math" w:eastAsia="宋体" w:cs="Times New Roman"/>
                <w:sz w:val="21"/>
                <w14:ligatures w14:val="none"/>
              </w:rPr>
            </m:ctrlPr>
          </m:den>
        </m:f>
      </m:oMath>
      <w:r>
        <w:rPr>
          <w:rFonts w:hint="eastAsia" w:ascii="Times New Roman" w:hAnsi="Times New Roman" w:eastAsia="宋体" w:cs="Times New Roman"/>
          <w:sz w:val="21"/>
          <w14:ligatures w14:val="none"/>
        </w:rPr>
        <w:t>时，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37" o:spt="75" alt="eqIdd95ce46fc3e252ee19d88c84e4fac39d" type="#_x0000_t75" style="height:16.3pt;width:42.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，二项式系数是逐渐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的；</w:t>
      </w:r>
    </w:p>
    <w:p w14:paraId="48F3844B">
      <w:pPr>
        <w:spacing w:after="0" w:line="360" w:lineRule="auto"/>
        <w:textAlignment w:val="center"/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当</w:t>
      </w:r>
      <m:oMath>
        <m:r>
          <m:rPr/>
          <w:rPr>
            <w:rFonts w:hint="default" w:ascii="Cambria Math" w:hAnsi="Cambria Math" w:eastAsia="宋体" w:cs="Times New Roman"/>
            <w:sz w:val="21"/>
            <w:szCs w:val="21"/>
            <w:lang w:val="en-US" w:eastAsia="zh-CN"/>
            <w14:ligatures w14:val="none"/>
          </w:rPr>
          <m:t>r</m:t>
        </m:r>
        <m:r>
          <m:rPr>
            <m:sty m:val="p"/>
          </m:rPr>
          <w:rPr>
            <w:rFonts w:ascii="Cambria Math" w:hAnsi="Cambria Math" w:eastAsia="宋体" w:cs="Times New Roman"/>
            <w:sz w:val="21"/>
            <w:szCs w:val="21"/>
            <w14:ligatures w14:val="none"/>
          </w:rPr>
          <m:t>&gt;</m:t>
        </m:r>
        <m:f>
          <m:fP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  <w:lang w:val="en-US" w:eastAsia="zh-CN"/>
                <w14:ligatures w14:val="none"/>
              </w:rPr>
              <m:t>−</m:t>
            </m:r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den>
        </m:f>
      </m:oMath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时，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38" o:spt="75" alt="eqIdd95ce46fc3e252ee19d88c84e4fac39d" type="#_x0000_t75" style="height:16.3pt;width:42.2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，二</w:t>
      </w:r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项式系数是逐渐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的.</w:t>
      </w:r>
    </w:p>
    <w:p w14:paraId="4E70698B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（4）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39" o:spt="75" alt="eqIdd95ce46fc3e252ee19d88c84e4fac39d" type="#_x0000_t75" style="height:16.3pt;width:94.1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.</w:t>
      </w:r>
    </w:p>
    <w:p w14:paraId="04296278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（5）在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40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的展开式中，奇数项二项式系数的和等于偶数项的二项式系数的和.</w:t>
      </w: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8AF4F26"/>
    <w:rsid w:val="6A3F493B"/>
    <w:rsid w:val="721534F2"/>
    <w:rsid w:val="743B124B"/>
    <w:rsid w:val="78A64D36"/>
    <w:rsid w:val="7C10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506</Characters>
  <Lines>0</Lines>
  <Paragraphs>0</Paragraphs>
  <TotalTime>0</TotalTime>
  <ScaleCrop>false</ScaleCrop>
  <LinksUpToDate>false</LinksUpToDate>
  <CharactersWithSpaces>622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