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地理预习卡（十六）生态保护与国家安全1.1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31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生态退化及其对国家安全的影响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60" w:lineRule="auto"/>
        <w:ind w:left="28" w:right="56" w:firstLine="1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生态退化通常是长期渐进的，不同区域表现各异。如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森林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破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坏、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土壤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侵蚀、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土地荒漠化、物种灭绝等。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3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影响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26" w:right="16" w:firstLine="43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导致自然环境服务功能逐步下降。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-1"/>
          <w:sz w:val="24"/>
          <w:szCs w:val="24"/>
        </w:rPr>
        <w:t>危害是逐步累积的，一旦严重到某种程度，就会动摇国家安全的自然环境基</w:t>
      </w:r>
      <w:r>
        <w:rPr>
          <w:rFonts w:ascii="宋体" w:hAnsi="宋体" w:eastAsia="宋体" w:cs="宋体"/>
          <w:color w:val="auto"/>
          <w:sz w:val="24"/>
          <w:szCs w:val="24"/>
        </w:rPr>
        <w:t>础，演变为威胁人民福祉、经济社会可持续发展的区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域乃至国家安全问题。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实施生态修复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(1)概念：指利用自然环境</w:t>
      </w:r>
      <w:r>
        <w:rPr>
          <w:rFonts w:ascii="Times New Roman" w:hAnsi="Times New Roman" w:cs="Times New Roman"/>
          <w:sz w:val="24"/>
          <w:szCs w:val="24"/>
          <w:u w:val="single"/>
        </w:rPr>
        <w:t>自身恢复</w:t>
      </w:r>
      <w:r>
        <w:rPr>
          <w:rFonts w:ascii="Times New Roman" w:hAnsi="Times New Roman" w:cs="Times New Roman"/>
          <w:sz w:val="24"/>
          <w:szCs w:val="24"/>
        </w:rPr>
        <w:t>能力或辅以</w:t>
      </w:r>
      <w:r>
        <w:rPr>
          <w:rFonts w:ascii="Times New Roman" w:hAnsi="Times New Roman" w:cs="Times New Roman"/>
          <w:sz w:val="24"/>
          <w:szCs w:val="24"/>
          <w:u w:val="single"/>
        </w:rPr>
        <w:t>人工</w:t>
      </w:r>
      <w:r>
        <w:rPr>
          <w:rFonts w:ascii="Times New Roman" w:hAnsi="Times New Roman" w:cs="Times New Roman"/>
          <w:sz w:val="24"/>
          <w:szCs w:val="24"/>
        </w:rPr>
        <w:t>措施，使受损的生态系统逐步恢复或趋向良性循环。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(2)类型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900"/>
        <w:gridCol w:w="3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类型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内容</w:t>
            </w:r>
          </w:p>
        </w:tc>
        <w:tc>
          <w:tcPr>
            <w:tcW w:w="361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自然恢复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主要是通过消除或减少人为干扰，使未完全崩溃的生态系统依靠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自我调节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能力，从退化或破坏状态中逐步恢复，维持其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可更新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能力</w:t>
            </w:r>
          </w:p>
        </w:tc>
        <w:tc>
          <w:tcPr>
            <w:tcW w:w="361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我国沿海及江湖实行的休渔制度、林区进行的封山育林、退化草场进行的围栏封育等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人工修复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主要是通过采取一定的生物、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工程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等措施，加快生态系统的恢复速度，或帮助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丧失自我调节能力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的生态系统恢复到安全水平。其中，工程治理措施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见效快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、成效好，是很多国家治理生态退化的主要方式</w:t>
            </w:r>
          </w:p>
        </w:tc>
        <w:tc>
          <w:tcPr>
            <w:tcW w:w="361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天然林资源保护工程、退耕还林(草)、退牧还草、矿山生态修复等</w:t>
            </w:r>
          </w:p>
        </w:tc>
      </w:tr>
    </w:tbl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(3)我国生态修复工程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我国先后实施了一系列自然恢复、人工修复或两者相结合的重要生态工程，如</w:t>
      </w:r>
      <w:r>
        <w:rPr>
          <w:rFonts w:ascii="Times New Roman" w:hAnsi="Times New Roman" w:cs="Times New Roman"/>
          <w:sz w:val="24"/>
          <w:szCs w:val="24"/>
          <w:u w:val="single"/>
        </w:rPr>
        <w:t>天然林资源保护工程</w:t>
      </w:r>
      <w:r>
        <w:rPr>
          <w:rFonts w:ascii="Times New Roman" w:hAnsi="Times New Roman" w:cs="Times New Roman"/>
          <w:sz w:val="24"/>
          <w:szCs w:val="24"/>
        </w:rPr>
        <w:t>、退耕还林(草)、退牧还草、矿山生态修复等。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443A40FB"/>
    <w:rsid w:val="47E665F4"/>
    <w:rsid w:val="491053E9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404</Characters>
  <Lines>0</Lines>
  <Paragraphs>0</Paragraphs>
  <TotalTime>1</TotalTime>
  <ScaleCrop>false</ScaleCrop>
  <LinksUpToDate>false</LinksUpToDate>
  <CharactersWithSpaces>405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2025-11-03T08:51:17Z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