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8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二十一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国家战略与政策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保障资源领域国家安全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41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</w:rPr>
        <w:t>国家资源环境战略、政策和措施的意义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6" w:line="360" w:lineRule="auto"/>
        <w:ind w:left="65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①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体现了一个国家在处理资源、环境与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发展关系方面的基本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 w:color="auto"/>
          <w:lang w:val="en-US" w:eastAsia="zh-CN"/>
        </w:rPr>
        <w:t xml:space="preserve">    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和行动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 w:color="auto"/>
          <w:lang w:val="en-US" w:eastAsia="zh-CN"/>
        </w:rPr>
        <w:t xml:space="preserve">    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。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对资源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 w:color="auto"/>
          <w:lang w:val="en-US" w:eastAsia="zh-CN"/>
        </w:rPr>
        <w:t xml:space="preserve">        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、环境保护活动产生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直接作用。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③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对一个国家的经济、社会、技术等产生全面的影响。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60" w:lineRule="auto"/>
        <w:ind w:left="26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措施(以战略资源的开发、储备和运输为例)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65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>①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有效管控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资源的开发。</w:t>
      </w:r>
      <w:r>
        <w:rPr>
          <w:rFonts w:hint="eastAsia" w:ascii="宋体" w:hAnsi="宋体" w:eastAsia="宋体" w:cs="宋体"/>
          <w:color w:val="auto"/>
          <w:spacing w:val="55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加强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u w:val="single" w:color="auto"/>
          <w:lang w:val="en-US" w:eastAsia="zh-CN"/>
        </w:rPr>
        <w:t xml:space="preserve">        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储备。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③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完善资源运输战略通道建设和安全保护措施。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60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2.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保障环境领域国家安全</w:t>
      </w:r>
    </w:p>
    <w:p>
      <w:pPr>
        <w:pStyle w:val="3"/>
        <w:keepNext w:val="0"/>
        <w:keepLines w:val="0"/>
        <w:pageBreakBefore w:val="0"/>
        <w:tabs>
          <w:tab w:val="left" w:pos="3402"/>
        </w:tabs>
        <w:wordWrap/>
        <w:overflowPunct/>
        <w:topLinePunct w:val="0"/>
        <w:bidi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保障环境领域国家安全的意义</w:t>
      </w:r>
    </w:p>
    <w:p>
      <w:pPr>
        <w:pStyle w:val="3"/>
        <w:keepNext w:val="0"/>
        <w:keepLines w:val="0"/>
        <w:pageBreakBefore w:val="0"/>
        <w:tabs>
          <w:tab w:val="left" w:pos="3402"/>
        </w:tabs>
        <w:wordWrap/>
        <w:overflowPunct/>
        <w:topLinePunct w:val="0"/>
        <w:bidi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保障人民赖以生存发展的大气、水、土壤等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条件不受威胁和破坏。</w:t>
      </w:r>
    </w:p>
    <w:p>
      <w:pPr>
        <w:pStyle w:val="3"/>
        <w:keepNext w:val="0"/>
        <w:keepLines w:val="0"/>
        <w:pageBreakBefore w:val="0"/>
        <w:tabs>
          <w:tab w:val="left" w:pos="3402"/>
        </w:tabs>
        <w:wordWrap/>
        <w:overflowPunct/>
        <w:topLinePunct w:val="0"/>
        <w:bidi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保障环境领域国家安全的措施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6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tabs>
                <w:tab w:val="left" w:pos="3402"/>
              </w:tabs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措施</w:t>
            </w:r>
          </w:p>
        </w:tc>
        <w:tc>
          <w:tcPr>
            <w:tcW w:w="6098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tabs>
                <w:tab w:val="left" w:pos="3402"/>
              </w:tabs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具体内容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tabs>
                <w:tab w:val="left" w:pos="3402"/>
              </w:tabs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划定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红线</w:t>
            </w:r>
          </w:p>
        </w:tc>
        <w:tc>
          <w:tcPr>
            <w:tcW w:w="6098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tabs>
                <w:tab w:val="left" w:pos="3402"/>
              </w:tabs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生态保护红线所圈定的空间范围是具有重要生态功能、必须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保护的区域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tabs>
                <w:tab w:val="left" w:pos="3402"/>
              </w:tabs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强化环境风险的预警和防控</w:t>
            </w:r>
          </w:p>
        </w:tc>
        <w:tc>
          <w:tcPr>
            <w:tcW w:w="6098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tabs>
                <w:tab w:val="left" w:pos="3402"/>
              </w:tabs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default" w:ascii="Times New Roman" w:hAnsi="Times New Roman" w:cs="Times New Roman" w:eastAsiaTheme="minorEastAsia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风险预警：通过对风险信息的分析、推断，发布具有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</w:p>
          <w:p>
            <w:pPr>
              <w:pStyle w:val="3"/>
              <w:keepNext w:val="0"/>
              <w:keepLines w:val="0"/>
              <w:pageBreakBefore w:val="0"/>
              <w:tabs>
                <w:tab w:val="left" w:pos="3402"/>
              </w:tabs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的信息以及相关的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。风险防控：根据风险预警的结果采取相应的应对措施，以提升应急响应水平和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tabs>
                <w:tab w:val="left" w:pos="3402"/>
              </w:tabs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妥善处置突发环境事件</w:t>
            </w:r>
          </w:p>
        </w:tc>
        <w:tc>
          <w:tcPr>
            <w:tcW w:w="6098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tabs>
                <w:tab w:val="left" w:pos="3402"/>
              </w:tabs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健全突发环境事件应对工作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，建立系统、严格和规范的环境应急管理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，是妥善处置突发环境事件的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23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3.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推动公众参与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41"/>
        <w:textAlignment w:val="baseline"/>
        <w:rPr>
          <w:rFonts w:ascii="宋体" w:hAnsi="宋体" w:eastAsia="宋体" w:cs="宋体"/>
          <w:color w:val="auto"/>
          <w:spacing w:val="-1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推动公众履行相关法律义务。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培养公众的环境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  </w:t>
      </w:r>
      <w:bookmarkStart w:id="0" w:name="_GoBack"/>
      <w:bookmarkEnd w:id="0"/>
      <w:r>
        <w:rPr>
          <w:rFonts w:ascii="宋体" w:hAnsi="宋体" w:eastAsia="宋体" w:cs="宋体"/>
          <w:color w:val="auto"/>
          <w:spacing w:val="-1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60" w:lineRule="auto"/>
        <w:textAlignment w:val="baseline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推动公众参与资源、环境事务的社会监督。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4075BAD"/>
    <w:rsid w:val="061843E3"/>
    <w:rsid w:val="061C3CD0"/>
    <w:rsid w:val="06884F6E"/>
    <w:rsid w:val="07410962"/>
    <w:rsid w:val="109F5C9D"/>
    <w:rsid w:val="11ED50B1"/>
    <w:rsid w:val="18C878B3"/>
    <w:rsid w:val="1A843150"/>
    <w:rsid w:val="1B635F27"/>
    <w:rsid w:val="1C0F6290"/>
    <w:rsid w:val="1C5C1209"/>
    <w:rsid w:val="1E427065"/>
    <w:rsid w:val="211C401E"/>
    <w:rsid w:val="21C919E8"/>
    <w:rsid w:val="233532DB"/>
    <w:rsid w:val="23B2407F"/>
    <w:rsid w:val="29211D26"/>
    <w:rsid w:val="29CD55C0"/>
    <w:rsid w:val="2B8A1CC7"/>
    <w:rsid w:val="2B9C744A"/>
    <w:rsid w:val="2EBB1CE1"/>
    <w:rsid w:val="326B7026"/>
    <w:rsid w:val="35951B6D"/>
    <w:rsid w:val="38242355"/>
    <w:rsid w:val="386E3080"/>
    <w:rsid w:val="398B304A"/>
    <w:rsid w:val="3C1E099E"/>
    <w:rsid w:val="3C3A5387"/>
    <w:rsid w:val="410E5DA8"/>
    <w:rsid w:val="42E00A4C"/>
    <w:rsid w:val="443A40FB"/>
    <w:rsid w:val="47E665F4"/>
    <w:rsid w:val="491053E9"/>
    <w:rsid w:val="4BC53B03"/>
    <w:rsid w:val="51083F8F"/>
    <w:rsid w:val="53E52724"/>
    <w:rsid w:val="568F36FC"/>
    <w:rsid w:val="56DA2D6A"/>
    <w:rsid w:val="5835243C"/>
    <w:rsid w:val="586D5544"/>
    <w:rsid w:val="59B625A5"/>
    <w:rsid w:val="5B56564E"/>
    <w:rsid w:val="5E4B6A02"/>
    <w:rsid w:val="606D64EE"/>
    <w:rsid w:val="61D74309"/>
    <w:rsid w:val="64624D00"/>
    <w:rsid w:val="647F3B76"/>
    <w:rsid w:val="657D7AF2"/>
    <w:rsid w:val="65FA6807"/>
    <w:rsid w:val="6D390A55"/>
    <w:rsid w:val="6D3A4E51"/>
    <w:rsid w:val="72325AEA"/>
    <w:rsid w:val="75EA3AB9"/>
    <w:rsid w:val="7A497332"/>
    <w:rsid w:val="7B7C5E5E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525</Words>
  <Characters>528</Characters>
  <Lines>0</Lines>
  <Paragraphs>0</Paragraphs>
  <TotalTime>3</TotalTime>
  <ScaleCrop>false</ScaleCrop>
  <LinksUpToDate>false</LinksUpToDate>
  <CharactersWithSpaces>528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2025-11-04T01:11:23Z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