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0B96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地理预习卡（七）大气受热过程和大气运动1.1</w:t>
      </w:r>
    </w:p>
    <w:p w14:paraId="5E17FF08">
      <w:pPr>
        <w:pStyle w:val="3"/>
        <w:keepNext w:val="0"/>
        <w:keepLines w:val="0"/>
        <w:pageBreakBefore w:val="0"/>
        <w:widowControl w:val="0"/>
        <w:tabs>
          <w:tab w:val="left" w:pos="382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大气对太阳辐射的削弱作用</w:t>
      </w:r>
    </w:p>
    <w:tbl>
      <w:tblPr>
        <w:tblStyle w:val="7"/>
        <w:tblpPr w:leftFromText="180" w:rightFromText="180" w:vertAnchor="text" w:horzAnchor="page" w:tblpX="1275" w:tblpY="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354"/>
        <w:gridCol w:w="2726"/>
        <w:gridCol w:w="2261"/>
        <w:gridCol w:w="1789"/>
      </w:tblGrid>
      <w:tr w14:paraId="48585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086" w:type="dxa"/>
            <w:tcBorders>
              <w:tl2br w:val="single" w:color="auto" w:sz="4" w:space="0"/>
            </w:tcBorders>
            <w:noWrap w:val="0"/>
            <w:vAlign w:val="center"/>
          </w:tcPr>
          <w:p w14:paraId="71E8D921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370B76B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作用特点</w:t>
            </w:r>
          </w:p>
        </w:tc>
        <w:tc>
          <w:tcPr>
            <w:tcW w:w="2726" w:type="dxa"/>
            <w:noWrap w:val="0"/>
            <w:vAlign w:val="center"/>
          </w:tcPr>
          <w:p w14:paraId="26D3F009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参与作用的大气成分</w:t>
            </w:r>
          </w:p>
        </w:tc>
        <w:tc>
          <w:tcPr>
            <w:tcW w:w="2261" w:type="dxa"/>
            <w:noWrap w:val="0"/>
            <w:vAlign w:val="center"/>
          </w:tcPr>
          <w:p w14:paraId="0EB01BD1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被削弱的辐射</w:t>
            </w:r>
          </w:p>
        </w:tc>
        <w:tc>
          <w:tcPr>
            <w:tcW w:w="1789" w:type="dxa"/>
            <w:noWrap w:val="0"/>
            <w:vAlign w:val="center"/>
          </w:tcPr>
          <w:p w14:paraId="1F890496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形成的自然现象</w:t>
            </w:r>
          </w:p>
        </w:tc>
      </w:tr>
      <w:tr w14:paraId="3F76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086" w:type="dxa"/>
            <w:noWrap w:val="0"/>
            <w:vAlign w:val="center"/>
          </w:tcPr>
          <w:p w14:paraId="394FDA48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反射作用</w:t>
            </w:r>
          </w:p>
        </w:tc>
        <w:tc>
          <w:tcPr>
            <w:tcW w:w="1354" w:type="dxa"/>
            <w:noWrap w:val="0"/>
            <w:vAlign w:val="center"/>
          </w:tcPr>
          <w:p w14:paraId="4BB3CE3D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eastAsia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2726" w:type="dxa"/>
            <w:noWrap w:val="0"/>
            <w:vAlign w:val="center"/>
          </w:tcPr>
          <w:p w14:paraId="1C9A9D75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云层、较大尘埃</w:t>
            </w:r>
          </w:p>
        </w:tc>
        <w:tc>
          <w:tcPr>
            <w:tcW w:w="2261" w:type="dxa"/>
            <w:noWrap w:val="0"/>
            <w:vAlign w:val="center"/>
          </w:tcPr>
          <w:p w14:paraId="4D187500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各种波长的太阳辐射</w:t>
            </w:r>
          </w:p>
        </w:tc>
        <w:tc>
          <w:tcPr>
            <w:tcW w:w="1789" w:type="dxa"/>
            <w:noWrap w:val="0"/>
            <w:vAlign w:val="center"/>
          </w:tcPr>
          <w:p w14:paraId="2566FB58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夏季多云的白天，气温不太高</w:t>
            </w:r>
          </w:p>
        </w:tc>
      </w:tr>
      <w:tr w14:paraId="46478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086" w:type="dxa"/>
            <w:vMerge w:val="restart"/>
            <w:noWrap w:val="0"/>
            <w:vAlign w:val="center"/>
          </w:tcPr>
          <w:p w14:paraId="0C779DA3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散射作用</w:t>
            </w:r>
          </w:p>
        </w:tc>
        <w:tc>
          <w:tcPr>
            <w:tcW w:w="1354" w:type="dxa"/>
            <w:noWrap w:val="0"/>
            <w:vAlign w:val="center"/>
          </w:tcPr>
          <w:p w14:paraId="63F1E399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eastAsia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2726" w:type="dxa"/>
            <w:noWrap w:val="0"/>
            <w:vAlign w:val="center"/>
          </w:tcPr>
          <w:p w14:paraId="19A9FAFE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大气分子、颗粒微小的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261" w:type="dxa"/>
            <w:noWrap w:val="0"/>
            <w:vAlign w:val="center"/>
          </w:tcPr>
          <w:p w14:paraId="03C95A3B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波长较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的蓝、紫色光</w:t>
            </w:r>
          </w:p>
        </w:tc>
        <w:tc>
          <w:tcPr>
            <w:tcW w:w="1789" w:type="dxa"/>
            <w:noWrap w:val="0"/>
            <w:vAlign w:val="center"/>
          </w:tcPr>
          <w:p w14:paraId="336863D9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hint="eastAsia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ascii="Times New Roman" w:hAnsi="Times New Roman" w:cs="Times New Roman"/>
              </w:rPr>
              <w:t>晴朗天空呈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</w:p>
          <w:p w14:paraId="276C05DD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色</w:t>
            </w:r>
          </w:p>
        </w:tc>
      </w:tr>
      <w:tr w14:paraId="06BC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086" w:type="dxa"/>
            <w:vMerge w:val="continue"/>
            <w:noWrap w:val="0"/>
            <w:vAlign w:val="center"/>
          </w:tcPr>
          <w:p w14:paraId="7609CEAA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noWrap w:val="0"/>
            <w:vAlign w:val="center"/>
          </w:tcPr>
          <w:p w14:paraId="5FD0C147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eastAsia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2726" w:type="dxa"/>
            <w:noWrap w:val="0"/>
            <w:vAlign w:val="center"/>
          </w:tcPr>
          <w:p w14:paraId="7EC9D2CD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颗粒较大的尘埃等</w:t>
            </w:r>
          </w:p>
        </w:tc>
        <w:tc>
          <w:tcPr>
            <w:tcW w:w="2261" w:type="dxa"/>
            <w:noWrap w:val="0"/>
            <w:vAlign w:val="center"/>
          </w:tcPr>
          <w:p w14:paraId="7DA68DE6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各种波长的太阳辐射</w:t>
            </w:r>
          </w:p>
        </w:tc>
        <w:tc>
          <w:tcPr>
            <w:tcW w:w="1789" w:type="dxa"/>
            <w:tcBorders>
              <w:bottom w:val="single" w:color="auto" w:sz="4" w:space="0"/>
            </w:tcBorders>
            <w:noWrap w:val="0"/>
            <w:vAlign w:val="center"/>
          </w:tcPr>
          <w:p w14:paraId="2DFE8BBE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阴天、黎明天空呈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</w:tr>
      <w:tr w14:paraId="58A3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1086" w:type="dxa"/>
            <w:noWrap w:val="0"/>
            <w:vAlign w:val="center"/>
          </w:tcPr>
          <w:p w14:paraId="50199D5B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吸收作用</w:t>
            </w:r>
          </w:p>
        </w:tc>
        <w:tc>
          <w:tcPr>
            <w:tcW w:w="1354" w:type="dxa"/>
            <w:noWrap w:val="0"/>
            <w:vAlign w:val="center"/>
          </w:tcPr>
          <w:p w14:paraId="726CF273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eastAsia="宋体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</w:p>
        </w:tc>
        <w:tc>
          <w:tcPr>
            <w:tcW w:w="2726" w:type="dxa"/>
            <w:noWrap w:val="0"/>
            <w:vAlign w:val="center"/>
          </w:tcPr>
          <w:p w14:paraId="6106EB0F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eastAsia="宋体"/>
                <w:sz w:val="24"/>
                <w:szCs w:val="24"/>
                <w:u w:val="single"/>
                <w:lang w:val="en-US" w:eastAsia="zh-CN"/>
              </w:rPr>
              <w:t xml:space="preserve">                    </w:t>
            </w:r>
          </w:p>
        </w:tc>
        <w:tc>
          <w:tcPr>
            <w:tcW w:w="2261" w:type="dxa"/>
            <w:noWrap w:val="0"/>
            <w:vAlign w:val="center"/>
          </w:tcPr>
          <w:p w14:paraId="0BF2B3F1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紫外线、红外线</w:t>
            </w:r>
          </w:p>
        </w:tc>
        <w:tc>
          <w:tcPr>
            <w:tcW w:w="1789" w:type="dxa"/>
            <w:tcBorders>
              <w:tl2br w:val="single" w:color="auto" w:sz="4" w:space="0"/>
            </w:tcBorders>
            <w:noWrap w:val="0"/>
            <w:vAlign w:val="center"/>
          </w:tcPr>
          <w:p w14:paraId="4E0E7766">
            <w:pPr>
              <w:pStyle w:val="3"/>
              <w:tabs>
                <w:tab w:val="left" w:pos="3828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299CE18">
      <w:pPr>
        <w:tabs>
          <w:tab w:val="left" w:pos="3402"/>
        </w:tabs>
        <w:overflowPunct w:val="0"/>
        <w:snapToGrid w:val="0"/>
        <w:spacing w:line="360" w:lineRule="auto"/>
        <w:jc w:val="both"/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 </w:t>
      </w:r>
    </w:p>
    <w:p w14:paraId="1E9F8172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ascii="Times New Roman" w:hAnsi="Times New Roman" w:eastAsia="Times New Roman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）</w:t>
      </w:r>
      <w:r>
        <w:rPr>
          <w:sz w:val="24"/>
          <w:szCs w:val="24"/>
        </w:rPr>
        <w:t>填出图示字母代表的受热过程环节。</w:t>
      </w:r>
      <w:r>
        <w:rPr>
          <w:rFonts w:ascii="Times New Roman" w:hAnsi="Times New Roman"/>
          <w:sz w:val="24"/>
          <w:szCs w:val="24"/>
        </w:rPr>
        <w:drawing>
          <wp:inline distT="0" distB="0" distL="0" distR="0">
            <wp:extent cx="1631950" cy="916940"/>
            <wp:effectExtent l="0" t="0" r="6350" b="16510"/>
            <wp:docPr id="181" name="24rdb1-18.jpg" descr="id:2147494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24rdb1-18.jpg" descr="id:2147494868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31971" cy="91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2B78A">
      <w:pPr>
        <w:tabs>
          <w:tab w:val="left" w:pos="3402"/>
        </w:tabs>
        <w:overflowPunct w:val="0"/>
        <w:snapToGrid w:val="0"/>
        <w:spacing w:line="360" w:lineRule="auto"/>
        <w:rPr>
          <w:rFonts w:hint="eastAsia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a.</w:t>
      </w:r>
      <w:r>
        <w:rPr>
          <w:sz w:val="24"/>
          <w:szCs w:val="24"/>
          <w:u w:val="single" w:color="000000"/>
        </w:rPr>
        <w:t>　　　　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 w:eastAsia="Times New Roman"/>
          <w:sz w:val="24"/>
          <w:szCs w:val="24"/>
        </w:rPr>
        <w:t>b.</w:t>
      </w:r>
      <w:r>
        <w:rPr>
          <w:sz w:val="24"/>
          <w:szCs w:val="24"/>
          <w:u w:val="single" w:color="000000"/>
        </w:rPr>
        <w:t>　　　　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 w:eastAsia="Times New Roman"/>
          <w:sz w:val="24"/>
          <w:szCs w:val="24"/>
        </w:rPr>
        <w:t>c.</w:t>
      </w:r>
      <w:r>
        <w:rPr>
          <w:sz w:val="24"/>
          <w:szCs w:val="24"/>
          <w:u w:val="single" w:color="000000"/>
        </w:rPr>
        <w:t>　　　　　　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 w:eastAsia="Times New Roman"/>
          <w:sz w:val="24"/>
          <w:szCs w:val="24"/>
        </w:rPr>
        <w:t>d.</w:t>
      </w:r>
      <w:r>
        <w:rPr>
          <w:sz w:val="24"/>
          <w:szCs w:val="24"/>
          <w:u w:val="single" w:color="000000"/>
        </w:rPr>
        <w:t>　　　　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 w:eastAsia="Times New Roman"/>
          <w:sz w:val="24"/>
          <w:szCs w:val="24"/>
        </w:rPr>
        <w:t>e.</w:t>
      </w:r>
      <w:r>
        <w:rPr>
          <w:sz w:val="24"/>
          <w:szCs w:val="24"/>
          <w:u w:val="single" w:color="000000"/>
        </w:rPr>
        <w:t>　　　　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 w:eastAsia="Times New Roman"/>
          <w:sz w:val="24"/>
          <w:szCs w:val="24"/>
        </w:rPr>
        <w:t>f.</w:t>
      </w:r>
      <w:r>
        <w:rPr>
          <w:sz w:val="24"/>
          <w:szCs w:val="24"/>
          <w:u w:val="single" w:color="000000"/>
        </w:rPr>
        <w:t>　　　　</w:t>
      </w:r>
      <w:r>
        <w:rPr>
          <w:sz w:val="24"/>
          <w:szCs w:val="24"/>
        </w:rPr>
        <w:t>。</w:t>
      </w:r>
    </w:p>
    <w:p w14:paraId="303EEF24">
      <w:pPr>
        <w:tabs>
          <w:tab w:val="left" w:pos="3402"/>
        </w:tabs>
        <w:overflowPunct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（</w:t>
      </w:r>
      <w:r>
        <w:rPr>
          <w:rFonts w:ascii="Times New Roman" w:hAnsi="Times New Roman" w:eastAsia="Times New Roman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）</w:t>
      </w:r>
      <w:r>
        <w:rPr>
          <w:sz w:val="24"/>
          <w:szCs w:val="24"/>
        </w:rPr>
        <w:t>近地面大气主要的、直接的热源是</w:t>
      </w:r>
      <w:r>
        <w:rPr>
          <w:sz w:val="24"/>
          <w:szCs w:val="24"/>
          <w:u w:val="single" w:color="000000"/>
        </w:rPr>
        <w:t>　　</w:t>
      </w:r>
      <w:r>
        <w:rPr>
          <w:sz w:val="24"/>
          <w:szCs w:val="24"/>
        </w:rPr>
        <w:t>。对近地面大气温度起削弱作用的是</w:t>
      </w:r>
      <w:r>
        <w:rPr>
          <w:sz w:val="24"/>
          <w:szCs w:val="24"/>
          <w:u w:val="single" w:color="000000"/>
        </w:rPr>
        <w:t>　　</w:t>
      </w:r>
      <w:r>
        <w:rPr>
          <w:rFonts w:ascii="宋体" w:hAnsi="宋体"/>
          <w:sz w:val="24"/>
          <w:szCs w:val="24"/>
        </w:rPr>
        <w:t>，</w:t>
      </w:r>
      <w:r>
        <w:rPr>
          <w:sz w:val="24"/>
          <w:szCs w:val="24"/>
        </w:rPr>
        <w:t>起保温作用的是</w:t>
      </w:r>
      <w:r>
        <w:rPr>
          <w:sz w:val="24"/>
          <w:szCs w:val="24"/>
          <w:u w:val="single" w:color="000000"/>
        </w:rPr>
        <w:t>　　</w:t>
      </w:r>
      <w:r>
        <w:rPr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>（</w:t>
      </w:r>
      <w:r>
        <w:rPr>
          <w:sz w:val="24"/>
          <w:szCs w:val="24"/>
        </w:rPr>
        <w:t>均填字母</w:t>
      </w:r>
      <w:r>
        <w:rPr>
          <w:rFonts w:ascii="宋体" w:hAnsi="宋体"/>
          <w:sz w:val="24"/>
          <w:szCs w:val="24"/>
        </w:rPr>
        <w:t>）</w:t>
      </w:r>
    </w:p>
    <w:p w14:paraId="01DE71C0">
      <w:pPr>
        <w:tabs>
          <w:tab w:val="left" w:pos="3402"/>
        </w:tabs>
        <w:overflowPunct w:val="0"/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2.大气对地面的保温作用</w:t>
      </w:r>
    </w:p>
    <w:tbl>
      <w:tblPr>
        <w:tblStyle w:val="7"/>
        <w:tblW w:w="506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5824"/>
        <w:gridCol w:w="1350"/>
      </w:tblGrid>
      <w:tr w14:paraId="5AB90588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42" w:type="pct"/>
            <w:tcMar>
              <w:left w:w="0" w:type="dxa"/>
              <w:right w:w="0" w:type="dxa"/>
            </w:tcMar>
            <w:vAlign w:val="center"/>
          </w:tcPr>
          <w:p w14:paraId="5486082A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名称</w:t>
            </w:r>
          </w:p>
        </w:tc>
        <w:tc>
          <w:tcPr>
            <w:tcW w:w="3455" w:type="pct"/>
            <w:tcMar>
              <w:left w:w="0" w:type="dxa"/>
              <w:right w:w="0" w:type="dxa"/>
            </w:tcMar>
            <w:vAlign w:val="center"/>
          </w:tcPr>
          <w:p w14:paraId="12056A97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具体过程</w:t>
            </w:r>
          </w:p>
        </w:tc>
        <w:tc>
          <w:tcPr>
            <w:tcW w:w="801" w:type="pct"/>
            <w:tcMar>
              <w:left w:w="0" w:type="dxa"/>
              <w:right w:w="0" w:type="dxa"/>
            </w:tcMar>
            <w:vAlign w:val="center"/>
          </w:tcPr>
          <w:p w14:paraId="31FA3C60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热量来源</w:t>
            </w:r>
          </w:p>
        </w:tc>
      </w:tr>
      <w:tr w14:paraId="363EBC2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42" w:type="pct"/>
            <w:tcMar>
              <w:left w:w="0" w:type="dxa"/>
              <w:right w:w="0" w:type="dxa"/>
            </w:tcMar>
            <w:vAlign w:val="center"/>
          </w:tcPr>
          <w:p w14:paraId="0F2D34FC">
            <w:pPr>
              <w:tabs>
                <w:tab w:val="left" w:pos="3402"/>
              </w:tabs>
              <w:overflowPunct w:val="0"/>
              <w:snapToGrid w:val="0"/>
              <w:spacing w:line="360" w:lineRule="auto"/>
              <w:ind w:firstLine="210" w:firstLineChars="100"/>
              <w:jc w:val="both"/>
              <w:rPr>
                <w:rFonts w:hint="eastAsia"/>
                <w:strike/>
                <w:dstrike w:val="0"/>
                <w:sz w:val="21"/>
                <w:szCs w:val="21"/>
                <w:u w:val="none"/>
              </w:rPr>
            </w:pPr>
            <w:r>
              <w:rPr>
                <w:sz w:val="21"/>
                <w:szCs w:val="21"/>
                <w:u w:val="single" w:color="000000"/>
              </w:rPr>
              <w:t>　　　　</w:t>
            </w:r>
          </w:p>
        </w:tc>
        <w:tc>
          <w:tcPr>
            <w:tcW w:w="3455" w:type="pct"/>
            <w:tcMar>
              <w:left w:w="52" w:type="dxa"/>
              <w:right w:w="52" w:type="dxa"/>
            </w:tcMar>
            <w:vAlign w:val="center"/>
          </w:tcPr>
          <w:p w14:paraId="2119BD99">
            <w:pPr>
              <w:tabs>
                <w:tab w:val="left" w:pos="3402"/>
              </w:tabs>
              <w:overflowPunct w:val="0"/>
              <w:snapToGrid w:val="0"/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大部分太阳短波辐射到达地面</w:t>
            </w:r>
            <w:r>
              <w:rPr>
                <w:rFonts w:ascii="宋体" w:hAnsi="宋体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地面吸收后增温</w:t>
            </w:r>
          </w:p>
        </w:tc>
        <w:tc>
          <w:tcPr>
            <w:tcW w:w="801" w:type="pct"/>
            <w:tcMar>
              <w:left w:w="0" w:type="dxa"/>
              <w:right w:w="0" w:type="dxa"/>
            </w:tcMar>
            <w:vAlign w:val="center"/>
          </w:tcPr>
          <w:p w14:paraId="3F08BEE4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太阳辐射</w:t>
            </w:r>
          </w:p>
        </w:tc>
      </w:tr>
      <w:tr w14:paraId="25BF327F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742" w:type="pct"/>
            <w:tcMar>
              <w:left w:w="0" w:type="dxa"/>
              <w:right w:w="0" w:type="dxa"/>
            </w:tcMar>
            <w:vAlign w:val="center"/>
          </w:tcPr>
          <w:p w14:paraId="02E3627E">
            <w:pPr>
              <w:tabs>
                <w:tab w:val="left" w:pos="3402"/>
              </w:tabs>
              <w:overflowPunct w:val="0"/>
              <w:snapToGrid w:val="0"/>
              <w:spacing w:line="360" w:lineRule="auto"/>
              <w:ind w:firstLine="210" w:firstLineChars="1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  <w:u w:val="single" w:color="000000"/>
              </w:rPr>
              <w:t>　　　　</w:t>
            </w:r>
          </w:p>
        </w:tc>
        <w:tc>
          <w:tcPr>
            <w:tcW w:w="3455" w:type="pct"/>
            <w:tcMar>
              <w:left w:w="52" w:type="dxa"/>
              <w:right w:w="52" w:type="dxa"/>
            </w:tcMar>
            <w:vAlign w:val="center"/>
          </w:tcPr>
          <w:p w14:paraId="6B1580BD">
            <w:pPr>
              <w:tabs>
                <w:tab w:val="left" w:pos="3402"/>
              </w:tabs>
              <w:overflowPunct w:val="0"/>
              <w:snapToGrid w:val="0"/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地面增温后形成</w:t>
            </w:r>
            <w:r>
              <w:rPr>
                <w:sz w:val="21"/>
                <w:szCs w:val="21"/>
                <w:u w:val="single" w:color="000000"/>
              </w:rPr>
              <w:t>　　　　</w:t>
            </w:r>
            <w:r>
              <w:rPr>
                <w:rFonts w:ascii="宋体" w:hAnsi="宋体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大气吸收后增温</w:t>
            </w:r>
          </w:p>
        </w:tc>
        <w:tc>
          <w:tcPr>
            <w:tcW w:w="801" w:type="pct"/>
            <w:tcMar>
              <w:left w:w="0" w:type="dxa"/>
              <w:right w:w="0" w:type="dxa"/>
            </w:tcMar>
            <w:vAlign w:val="center"/>
          </w:tcPr>
          <w:p w14:paraId="4148FB33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  <w:u w:val="single" w:color="000000"/>
              </w:rPr>
              <w:t>　　　　</w:t>
            </w:r>
          </w:p>
        </w:tc>
      </w:tr>
      <w:tr w14:paraId="2ABD42DB"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742" w:type="pct"/>
            <w:tcMar>
              <w:left w:w="0" w:type="dxa"/>
              <w:right w:w="0" w:type="dxa"/>
            </w:tcMar>
            <w:vAlign w:val="center"/>
          </w:tcPr>
          <w:p w14:paraId="54CAD5FD">
            <w:pPr>
              <w:tabs>
                <w:tab w:val="left" w:pos="3402"/>
              </w:tabs>
              <w:overflowPunct w:val="0"/>
              <w:snapToGrid w:val="0"/>
              <w:spacing w:line="360" w:lineRule="auto"/>
              <w:ind w:firstLine="210" w:firstLineChars="1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  <w:u w:val="single" w:color="000000"/>
              </w:rPr>
              <w:t>　　　　</w:t>
            </w:r>
          </w:p>
        </w:tc>
        <w:tc>
          <w:tcPr>
            <w:tcW w:w="3455" w:type="pct"/>
            <w:tcMar>
              <w:left w:w="52" w:type="dxa"/>
              <w:right w:w="52" w:type="dxa"/>
            </w:tcMar>
            <w:vAlign w:val="center"/>
          </w:tcPr>
          <w:p w14:paraId="64CBD72F">
            <w:pPr>
              <w:tabs>
                <w:tab w:val="left" w:pos="3402"/>
              </w:tabs>
              <w:overflowPunct w:val="0"/>
              <w:snapToGrid w:val="0"/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  <w:u w:val="single" w:color="000000"/>
              </w:rPr>
              <w:t>大气增温</w:t>
            </w:r>
            <w:r>
              <w:rPr>
                <w:sz w:val="21"/>
                <w:szCs w:val="21"/>
              </w:rPr>
              <w:t>后形成大气辐射</w:t>
            </w:r>
            <w:r>
              <w:rPr>
                <w:rFonts w:ascii="宋体" w:hAnsi="宋体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其中向下的部分称为</w:t>
            </w:r>
            <w:r>
              <w:rPr>
                <w:sz w:val="21"/>
                <w:szCs w:val="21"/>
                <w:u w:val="single" w:color="000000"/>
              </w:rPr>
              <w:t>　　　　</w:t>
            </w:r>
            <w:r>
              <w:rPr>
                <w:rFonts w:ascii="宋体" w:hAnsi="宋体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它将大部分热量还给地面</w:t>
            </w:r>
            <w:r>
              <w:rPr>
                <w:rFonts w:ascii="宋体" w:hAnsi="宋体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对地面起到保温作用</w:t>
            </w:r>
          </w:p>
        </w:tc>
        <w:tc>
          <w:tcPr>
            <w:tcW w:w="801" w:type="pct"/>
            <w:tcMar>
              <w:left w:w="0" w:type="dxa"/>
              <w:right w:w="0" w:type="dxa"/>
            </w:tcMar>
            <w:vAlign w:val="center"/>
          </w:tcPr>
          <w:p w14:paraId="747E0C49">
            <w:pPr>
              <w:tabs>
                <w:tab w:val="left" w:pos="3402"/>
              </w:tabs>
              <w:overflowPunct w:val="0"/>
              <w:snapToGrid w:val="0"/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大气辐射</w:t>
            </w:r>
          </w:p>
        </w:tc>
      </w:tr>
    </w:tbl>
    <w:p w14:paraId="1B3B059E">
      <w:pPr>
        <w:keepNext w:val="0"/>
        <w:keepLines w:val="0"/>
        <w:pageBreakBefore w:val="0"/>
        <w:widowControl w:val="0"/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判断题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：</w:t>
      </w:r>
    </w:p>
    <w:p w14:paraId="60A02D3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太阳温度高于地面温度，因而太阳辐射属于长波辐射，地面辐射属于短波辐射。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6B01C0B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正午12时太阳高度最大，太阳辐射最强，气温最高。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6C7A780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大气逆辐射只在夜间出现。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p w14:paraId="0B891E3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9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b/>
          <w:bCs/>
          <w:lang w:val="en-US" w:eastAsia="zh-CN"/>
        </w:rPr>
      </w:pPr>
      <w:r>
        <w:rPr>
          <w:rFonts w:hint="default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青藏高原太阳辐射强，光照充足，气温高。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(  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777BA3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1DC1820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7CD1166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3D0AFA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3870498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B436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465</Characters>
  <Lines>0</Lines>
  <Paragraphs>0</Paragraphs>
  <TotalTime>0</TotalTime>
  <ScaleCrop>false</ScaleCrop>
  <LinksUpToDate>false</LinksUpToDate>
  <CharactersWithSpaces>603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88F8ADC1FC5546199371F056156C789E_13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