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197C9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地理预习卡（十五）洋流</w:t>
      </w:r>
    </w:p>
    <w:p w14:paraId="59F4C5F6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洋流</w:t>
      </w:r>
      <w:r>
        <w:rPr>
          <w:rFonts w:hint="eastAsia" w:ascii="Times New Roman" w:hAnsi="Times New Roman" w:eastAsia="黑体" w:cs="Times New Roman"/>
          <w:sz w:val="24"/>
        </w:rPr>
        <w:t>的影响因素：</w:t>
      </w:r>
      <w:r>
        <w:rPr>
          <w:rFonts w:ascii="Times New Roman" w:hAnsi="Times New Roman" w:cs="Times New Roman"/>
          <w:sz w:val="24"/>
        </w:rPr>
        <w:t>盛行风、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、地转偏向力等。</w:t>
      </w:r>
    </w:p>
    <w:p w14:paraId="3330AE10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1883410</wp:posOffset>
                </wp:positionH>
                <wp:positionV relativeFrom="paragraph">
                  <wp:posOffset>91440</wp:posOffset>
                </wp:positionV>
                <wp:extent cx="1680210" cy="545465"/>
                <wp:effectExtent l="4445" t="4445" r="10795" b="21590"/>
                <wp:wrapNone/>
                <wp:docPr id="8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73550" y="1968500"/>
                          <a:ext cx="1680210" cy="545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720FC3"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>北半球：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br w:type="textWrapping"/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>南半球：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kern w:val="2"/>
                                <w:sz w:val="24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3pt;margin-top:7.2pt;height:42.95pt;width:132.3pt;z-index:251660288;mso-width-relative:page;mso-height-relative:page;" fillcolor="#FFFFFF [3201]" filled="t" stroked="t" coordsize="21600,21600" o:gfxdata="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GqaVz1gAAAAoBAAAPAAAAAAAAAAEAIAAAACIAAABkcnMvZG93bnJldi54bWxQSwECFAAUAAAA&#10;CACHTuJAK0z0AWICAADF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D720FC3"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>北半球：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br w:type="textWrapping"/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>南半球：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eastAsiaTheme="minorEastAsia"/>
                          <w:kern w:val="2"/>
                          <w:sz w:val="24"/>
                          <w:szCs w:val="21"/>
                          <w:lang w:val="en-US" w:eastAsia="zh-CN" w:bidi="ar-S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黑体" w:cs="Arial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分布规律</w:t>
      </w:r>
    </w:p>
    <w:p w14:paraId="4881CDBC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(1)中低纬度海区的大洋环流</w:t>
      </w:r>
    </w:p>
    <w:p w14:paraId="26E8D274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(2)北半球中高纬度海区的大洋环流——呈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方向流动。</w:t>
      </w:r>
    </w:p>
    <w:p w14:paraId="62EE67F6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(3)南半球的西风漂流——终年受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影响。</w:t>
      </w:r>
    </w:p>
    <w:p w14:paraId="6E1E1000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(4)北</w:t>
      </w:r>
      <w:r>
        <w:rPr>
          <w:rFonts w:hint="eastAsia" w:ascii="Times New Roman" w:hAnsi="Times New Roman" w:cs="Times New Roman"/>
          <w:sz w:val="24"/>
        </w:rPr>
        <w:t>印度洋海区的季风环流</w:t>
      </w:r>
    </w:p>
    <w:p w14:paraId="06B37F75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hAnsi="宋体" w:cs="Times New Roman"/>
          <w:sz w:val="24"/>
        </w:rPr>
        <w:t>①</w:t>
      </w:r>
      <w:r>
        <w:rPr>
          <w:rFonts w:hint="eastAsia" w:ascii="Times New Roman" w:hAnsi="Times New Roman" w:cs="Times New Roman"/>
          <w:sz w:val="24"/>
        </w:rPr>
        <w:t>冬季</w:t>
      </w:r>
      <w:r>
        <w:rPr>
          <w:rFonts w:hint="eastAsia" w:hAnsi="宋体" w:cs="Times New Roman"/>
          <w:sz w:val="24"/>
        </w:rPr>
        <w:t>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风</w:t>
      </w:r>
      <w:r>
        <w:rPr>
          <w:rFonts w:hAnsi="宋体" w:cs="Times New Roman"/>
          <w:sz w:val="24"/>
        </w:rPr>
        <w:t>→</w:t>
      </w:r>
      <w:r>
        <w:rPr>
          <w:rFonts w:ascii="Times New Roman" w:hAnsi="Times New Roman" w:cs="Times New Roman"/>
          <w:sz w:val="24"/>
        </w:rPr>
        <w:t>逆时针。</w:t>
      </w:r>
      <w:r>
        <w:rPr>
          <w:rFonts w:hAnsi="宋体" w:cs="Times New Roman"/>
          <w:sz w:val="24"/>
        </w:rPr>
        <w:t>②</w:t>
      </w:r>
      <w:r>
        <w:rPr>
          <w:rFonts w:ascii="Times New Roman" w:hAnsi="Times New Roman" w:cs="Times New Roman"/>
          <w:sz w:val="24"/>
        </w:rPr>
        <w:t>夏季</w:t>
      </w:r>
      <w:r>
        <w:rPr>
          <w:rFonts w:hAnsi="宋体" w:cs="Times New Roman"/>
          <w:sz w:val="24"/>
        </w:rPr>
        <w:t>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风</w:t>
      </w:r>
      <w:r>
        <w:rPr>
          <w:rFonts w:hAnsi="宋体" w:cs="Times New Roman"/>
          <w:sz w:val="24"/>
        </w:rPr>
        <w:t>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针。</w:t>
      </w:r>
    </w:p>
    <w:p w14:paraId="105A0B9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sz w:val="24"/>
        </w:rPr>
        <w:t>3</w:t>
      </w:r>
      <w:r>
        <w:rPr>
          <w:rFonts w:ascii="Times New Roman" w:hAnsi="Times New Roman" w:cs="Times New Roman"/>
          <w:sz w:val="24"/>
        </w:rPr>
        <w:t>.读图，填出世界的主要洋流分布(北半球冬季)。</w:t>
      </w:r>
    </w:p>
    <w:p w14:paraId="491AFA86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"../../../../预习卡/1A393.TIF"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人教版（鲁琼京……）\\1A393.TIF"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人教版（鲁琼京……）\\教师word文档\\第四章  水的运动\\1A393.TIF"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人教版（鲁琼京……）\\教师word文档\\第四章  水的运动\\1A393.TIF"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087880" cy="1112520"/>
            <wp:effectExtent l="0" t="0" r="7620" b="11430"/>
            <wp:docPr id="4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tbl>
      <w:tblPr>
        <w:tblStyle w:val="7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5745"/>
        <w:gridCol w:w="1948"/>
      </w:tblGrid>
      <w:tr w14:paraId="043F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4A2BAED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海域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16465422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主要洋流名称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1AB2CF0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共有洋流</w:t>
            </w:r>
          </w:p>
        </w:tc>
      </w:tr>
      <w:tr w14:paraId="2884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07A63F1A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太平洋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3F3C9401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、E北太平洋暖流、F加利福尼亚寒流、</w:t>
            </w:r>
          </w:p>
          <w:p w14:paraId="0122CBE8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G东澳大利亚暖流、H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、I千岛寒流</w:t>
            </w:r>
          </w:p>
        </w:tc>
        <w:tc>
          <w:tcPr>
            <w:tcW w:w="1948" w:type="dxa"/>
            <w:vMerge w:val="restart"/>
            <w:shd w:val="clear" w:color="auto" w:fill="auto"/>
            <w:vAlign w:val="center"/>
          </w:tcPr>
          <w:p w14:paraId="310AF1F8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1B1F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25932FC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大西洋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0DD7BFE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J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、K北大西洋暖流、L拉布拉多寒流、M加那利寒流、N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、O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48" w:type="dxa"/>
            <w:vMerge w:val="continue"/>
            <w:shd w:val="clear" w:color="auto" w:fill="auto"/>
            <w:vAlign w:val="center"/>
          </w:tcPr>
          <w:p w14:paraId="324D96D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2BFD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65E4713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印度洋</w:t>
            </w:r>
          </w:p>
        </w:tc>
        <w:tc>
          <w:tcPr>
            <w:tcW w:w="5745" w:type="dxa"/>
            <w:shd w:val="clear" w:color="auto" w:fill="auto"/>
            <w:vAlign w:val="center"/>
          </w:tcPr>
          <w:p w14:paraId="4578D74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、Q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48" w:type="dxa"/>
            <w:vMerge w:val="continue"/>
            <w:shd w:val="clear" w:color="auto" w:fill="auto"/>
            <w:vAlign w:val="center"/>
          </w:tcPr>
          <w:p w14:paraId="3E4AAB6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5F0BF1A">
      <w:pPr>
        <w:pStyle w:val="3"/>
        <w:tabs>
          <w:tab w:val="left" w:pos="4111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　按成因分类，洋流可分为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14:paraId="711193FD">
      <w:pPr>
        <w:spacing w:beforeLines="0" w:afterLines="0" w:line="360" w:lineRule="auto"/>
        <w:rPr>
          <w:rFonts w:hint="eastAsia" w:ascii="Times New Roman" w:hAnsi="Times New Roman" w:cs="Times New Roman" w:eastAsiaTheme="minorEastAsia"/>
          <w:b/>
          <w:bCs/>
          <w:kern w:val="2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kern w:val="2"/>
          <w:sz w:val="24"/>
          <w:szCs w:val="21"/>
          <w:lang w:val="en-US" w:eastAsia="zh-CN" w:bidi="ar-SA"/>
        </w:rPr>
        <w:t>北印度洋冬夏季洋流的规律</w:t>
      </w:r>
    </w:p>
    <w:p w14:paraId="1C89FB73">
      <w:pPr>
        <w:spacing w:beforeLines="0" w:afterLines="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lang w:val="en-US" w:eastAsia="zh-CN"/>
        </w:rPr>
        <w:t>甲乙</w:t>
      </w:r>
      <w:r>
        <w:rPr>
          <w:rFonts w:hint="eastAsia"/>
          <w:sz w:val="24"/>
          <w:szCs w:val="24"/>
        </w:rPr>
        <w:t>两图位于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洋  </w:t>
      </w:r>
      <w:r>
        <w:rPr>
          <w:rFonts w:hint="eastAsia"/>
          <w:sz w:val="24"/>
          <w:szCs w:val="24"/>
          <w:lang w:val="en-US" w:eastAsia="zh-CN"/>
        </w:rPr>
        <w:t>甲</w:t>
      </w:r>
      <w:r>
        <w:rPr>
          <w:rFonts w:hint="eastAsia"/>
          <w:sz w:val="24"/>
          <w:szCs w:val="24"/>
        </w:rPr>
        <w:t>图洋流自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向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运动，是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季节（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时针）</w:t>
      </w:r>
    </w:p>
    <w:p w14:paraId="507B9AC6">
      <w:pPr>
        <w:spacing w:beforeLines="0" w:afterLine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乙</w:t>
      </w:r>
      <w:r>
        <w:rPr>
          <w:rFonts w:hint="eastAsia"/>
          <w:sz w:val="24"/>
          <w:szCs w:val="24"/>
        </w:rPr>
        <w:t>图洋流自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向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运动，</w:t>
      </w:r>
      <w:r>
        <w:rPr>
          <w:rFonts w:hint="default"/>
          <w:sz w:val="24"/>
          <w:szCs w:val="24"/>
        </w:rPr>
        <w:drawing>
          <wp:inline distT="0" distB="0" distL="114300" distR="114300">
            <wp:extent cx="40005" cy="20320"/>
            <wp:effectExtent l="0" t="0" r="17145" b="8255"/>
            <wp:docPr id="4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季节（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时针）</w:t>
      </w:r>
    </w:p>
    <w:p w14:paraId="1EB75E03">
      <w:pPr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01490" cy="1652905"/>
            <wp:effectExtent l="0" t="0" r="3810" b="4445"/>
            <wp:docPr id="4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1652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3F5933"/>
    <w:rsid w:val="49904E8B"/>
    <w:rsid w:val="49FF7F76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0A7028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21127E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1A393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307</Characters>
  <Lines>0</Lines>
  <Paragraphs>0</Paragraphs>
  <TotalTime>0</TotalTime>
  <ScaleCrop>false</ScaleCrop>
  <LinksUpToDate>false</LinksUpToDate>
  <CharactersWithSpaces>528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5DD9F67F5EE447BDB95A9D916DC85467_13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