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51B02">
      <w:pPr>
        <w:jc w:val="center"/>
        <w:rPr>
          <w:rFonts w:hint="eastAsia"/>
          <w:sz w:val="36"/>
          <w:szCs w:val="36"/>
          <w:lang w:val="en-US" w:eastAsia="zh-CN"/>
        </w:rPr>
      </w:pPr>
      <w:r>
        <w:rPr>
          <w:rFonts w:hint="eastAsia"/>
          <w:sz w:val="36"/>
          <w:szCs w:val="36"/>
          <w:lang w:val="en-US" w:eastAsia="zh-CN"/>
        </w:rPr>
        <w:t>地理预习卡（四</w:t>
      </w:r>
      <w:bookmarkStart w:id="0" w:name="_GoBack"/>
      <w:bookmarkEnd w:id="0"/>
      <w:r>
        <w:rPr>
          <w:rFonts w:hint="eastAsia"/>
          <w:sz w:val="36"/>
          <w:szCs w:val="36"/>
          <w:lang w:val="en-US" w:eastAsia="zh-CN"/>
        </w:rPr>
        <w:t>）人口容量</w:t>
      </w:r>
    </w:p>
    <w:p w14:paraId="52B205AC">
      <w:pPr>
        <w:pStyle w:val="2"/>
        <w:spacing w:before="26" w:line="219" w:lineRule="auto"/>
        <w:rPr>
          <w:rFonts w:hint="eastAsia" w:ascii="宋体" w:hAnsi="宋体" w:eastAsia="宋体" w:cs="宋体"/>
          <w:sz w:val="24"/>
          <w:szCs w:val="24"/>
        </w:rPr>
      </w:pPr>
      <w:r>
        <w:rPr>
          <w:rFonts w:hint="eastAsia" w:ascii="宋体" w:hAnsi="宋体" w:eastAsia="宋体" w:cs="宋体"/>
          <w:spacing w:val="-2"/>
          <w:sz w:val="24"/>
          <w:szCs w:val="24"/>
        </w:rPr>
        <w:t>一、区域资源环境承载力</w:t>
      </w:r>
    </w:p>
    <w:p w14:paraId="56A07012">
      <w:pPr>
        <w:pStyle w:val="3"/>
        <w:tabs>
          <w:tab w:val="left" w:pos="3544"/>
        </w:tabs>
        <w:snapToGrid w:val="0"/>
        <w:spacing w:line="360" w:lineRule="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概念</w:t>
      </w:r>
      <w:r>
        <w:rPr>
          <w:rFonts w:hint="eastAsia" w:ascii="宋体" w:hAnsi="宋体" w:eastAsia="宋体" w:cs="宋体"/>
          <w:sz w:val="24"/>
          <w:szCs w:val="24"/>
        </w:rPr>
        <w:t>：是指在保证资源</w:t>
      </w:r>
      <w:r>
        <w:rPr>
          <w:rFonts w:hint="eastAsia" w:ascii="Times New Roman" w:hAnsi="Times New Roman" w:cs="Times New Roman" w:eastAsiaTheme="minorEastAsia"/>
          <w:kern w:val="2"/>
          <w:sz w:val="24"/>
          <w:szCs w:val="21"/>
          <w:u w:val="single"/>
          <w:lang w:val="en-US" w:eastAsia="zh-CN" w:bidi="ar-SA"/>
        </w:rPr>
        <w:t xml:space="preserve"> </w:t>
      </w:r>
      <w:r>
        <w:rPr>
          <w:rFonts w:hint="eastAsia" w:ascii="Times New Roman" w:hAnsi="Times New Roman" w:cs="Times New Roman"/>
          <w:sz w:val="24"/>
          <w:u w:val="single"/>
          <w:lang w:val="en-US" w:eastAsia="zh-CN"/>
        </w:rPr>
        <w:t xml:space="preserve">          </w:t>
      </w:r>
      <w:r>
        <w:rPr>
          <w:rFonts w:hint="eastAsia" w:ascii="宋体" w:hAnsi="宋体" w:eastAsia="宋体" w:cs="宋体"/>
          <w:sz w:val="24"/>
          <w:szCs w:val="24"/>
        </w:rPr>
        <w:t>和保护</w:t>
      </w:r>
      <w:r>
        <w:rPr>
          <w:rFonts w:hint="eastAsia" w:ascii="Times New Roman" w:hAnsi="Times New Roman" w:cs="Times New Roman" w:eastAsiaTheme="minorEastAsia"/>
          <w:kern w:val="2"/>
          <w:sz w:val="24"/>
          <w:szCs w:val="21"/>
          <w:u w:val="single"/>
          <w:lang w:val="en-US" w:eastAsia="zh-CN" w:bidi="ar-SA"/>
        </w:rPr>
        <w:t xml:space="preserve"> </w:t>
      </w:r>
      <w:r>
        <w:rPr>
          <w:rFonts w:hint="eastAsia" w:ascii="Times New Roman" w:hAnsi="Times New Roman" w:cs="Times New Roman"/>
          <w:sz w:val="24"/>
          <w:u w:val="single"/>
          <w:lang w:val="en-US" w:eastAsia="zh-CN"/>
        </w:rPr>
        <w:t xml:space="preserve">          </w:t>
      </w:r>
      <w:r>
        <w:rPr>
          <w:rFonts w:hint="eastAsia" w:ascii="宋体" w:hAnsi="宋体" w:eastAsia="宋体" w:cs="宋体"/>
          <w:sz w:val="24"/>
          <w:szCs w:val="24"/>
        </w:rPr>
        <w:t>的前提下，区域的资源环境条件所能承载的人口数量。</w:t>
      </w:r>
    </w:p>
    <w:p w14:paraId="3D6DE779">
      <w:pPr>
        <w:pStyle w:val="3"/>
        <w:tabs>
          <w:tab w:val="left" w:pos="3544"/>
        </w:tabs>
        <w:snapToGrid w:val="0"/>
        <w:spacing w:line="360" w:lineRule="auto"/>
        <w:rPr>
          <w:rFonts w:hint="eastAsia" w:ascii="宋体" w:hAnsi="宋体" w:eastAsia="宋体" w:cs="宋体"/>
          <w:sz w:val="24"/>
          <w:szCs w:val="24"/>
        </w:rPr>
      </w:pPr>
      <w:r>
        <w:rPr>
          <w:rFonts w:hint="eastAsia" w:ascii="宋体" w:hAnsi="宋体" w:eastAsia="宋体" w:cs="宋体"/>
          <w:sz w:val="24"/>
          <w:szCs w:val="24"/>
        </w:rPr>
        <w:t>2．影响因素</w:t>
      </w:r>
    </w:p>
    <w:p w14:paraId="7E81227E">
      <w:pPr>
        <w:pStyle w:val="3"/>
        <w:tabs>
          <w:tab w:val="left" w:pos="3544"/>
        </w:tabs>
        <w:snapToGrid w:val="0"/>
        <w:spacing w:line="360" w:lineRule="auto"/>
        <w:rPr>
          <w:rFonts w:hint="eastAsia" w:ascii="宋体" w:hAnsi="宋体" w:eastAsia="宋体" w:cs="宋体"/>
          <w:sz w:val="24"/>
          <w:szCs w:val="24"/>
        </w:rPr>
      </w:pPr>
      <w:r>
        <w:rPr>
          <w:rFonts w:hint="eastAsia" w:ascii="宋体" w:hAnsi="宋体" w:eastAsia="宋体" w:cs="宋体"/>
          <w:sz w:val="24"/>
          <w:szCs w:val="24"/>
        </w:rPr>
        <w:t>(1)自然资源状况</w:t>
      </w:r>
    </w:p>
    <w:p w14:paraId="223233B3">
      <w:pPr>
        <w:pStyle w:val="3"/>
        <w:tabs>
          <w:tab w:val="left" w:pos="3544"/>
        </w:tabs>
        <w:snapToGrid w:val="0"/>
        <w:spacing w:line="360" w:lineRule="auto"/>
        <w:rPr>
          <w:rFonts w:hint="eastAsia" w:ascii="宋体" w:hAnsi="宋体" w:eastAsia="宋体" w:cs="宋体"/>
          <w:sz w:val="24"/>
          <w:szCs w:val="24"/>
        </w:rPr>
      </w:pPr>
      <w:r>
        <w:rPr>
          <w:rFonts w:hint="eastAsia" w:ascii="宋体" w:hAnsi="宋体" w:eastAsia="宋体" w:cs="宋体"/>
          <w:sz w:val="24"/>
          <w:szCs w:val="24"/>
        </w:rPr>
        <w:t>①某区域所能承载的人口数量是由当地的自然资源“</w:t>
      </w:r>
      <w:r>
        <w:rPr>
          <w:rFonts w:hint="eastAsia" w:ascii="Times New Roman" w:hAnsi="Times New Roman" w:cs="Times New Roman" w:eastAsiaTheme="minorEastAsia"/>
          <w:kern w:val="2"/>
          <w:sz w:val="24"/>
          <w:szCs w:val="21"/>
          <w:u w:val="single"/>
          <w:lang w:val="en-US" w:eastAsia="zh-CN" w:bidi="ar-SA"/>
        </w:rPr>
        <w:t xml:space="preserve"> </w:t>
      </w:r>
      <w:r>
        <w:rPr>
          <w:rFonts w:hint="eastAsia" w:ascii="Times New Roman" w:hAnsi="Times New Roman" w:cs="Times New Roman"/>
          <w:sz w:val="24"/>
          <w:u w:val="single"/>
          <w:lang w:val="en-US" w:eastAsia="zh-CN"/>
        </w:rPr>
        <w:t xml:space="preserve">     </w:t>
      </w:r>
      <w:r>
        <w:rPr>
          <w:rFonts w:hint="eastAsia" w:ascii="宋体" w:hAnsi="宋体" w:eastAsia="宋体" w:cs="宋体"/>
          <w:sz w:val="24"/>
          <w:szCs w:val="24"/>
        </w:rPr>
        <w:t>”所决定的。②资源</w:t>
      </w:r>
      <w:r>
        <w:rPr>
          <w:rFonts w:hint="eastAsia" w:ascii="宋体" w:hAnsi="宋体" w:eastAsia="宋体" w:cs="宋体"/>
          <w:sz w:val="24"/>
          <w:szCs w:val="24"/>
          <w:u w:val="single"/>
        </w:rPr>
        <w:t>丰富</w:t>
      </w:r>
      <w:r>
        <w:rPr>
          <w:rFonts w:hint="eastAsia" w:ascii="宋体" w:hAnsi="宋体" w:eastAsia="宋体" w:cs="宋体"/>
          <w:sz w:val="24"/>
          <w:szCs w:val="24"/>
        </w:rPr>
        <w:t>的区域能承载较多的人口。③通常用某一种或几种资源的</w:t>
      </w:r>
      <w:r>
        <w:rPr>
          <w:rFonts w:hint="eastAsia" w:ascii="Times New Roman" w:hAnsi="Times New Roman" w:cs="Times New Roman" w:eastAsiaTheme="minorEastAsia"/>
          <w:kern w:val="2"/>
          <w:sz w:val="24"/>
          <w:szCs w:val="21"/>
          <w:u w:val="single"/>
          <w:lang w:val="en-US" w:eastAsia="zh-CN" w:bidi="ar-SA"/>
        </w:rPr>
        <w:t xml:space="preserve"> </w:t>
      </w:r>
      <w:r>
        <w:rPr>
          <w:rFonts w:hint="eastAsia" w:ascii="Times New Roman" w:hAnsi="Times New Roman" w:cs="Times New Roman"/>
          <w:sz w:val="24"/>
          <w:u w:val="single"/>
          <w:lang w:val="en-US" w:eastAsia="zh-CN"/>
        </w:rPr>
        <w:t xml:space="preserve">     </w:t>
      </w:r>
      <w:r>
        <w:rPr>
          <w:rFonts w:hint="eastAsia" w:ascii="宋体" w:hAnsi="宋体" w:eastAsia="宋体" w:cs="宋体"/>
          <w:sz w:val="24"/>
          <w:szCs w:val="24"/>
        </w:rPr>
        <w:t>作为估算某个区域资源环境承载力的依据。</w:t>
      </w:r>
    </w:p>
    <w:p w14:paraId="0B803934">
      <w:pPr>
        <w:pStyle w:val="3"/>
        <w:tabs>
          <w:tab w:val="left" w:pos="3544"/>
        </w:tabs>
        <w:snapToGrid w:val="0"/>
        <w:spacing w:line="360" w:lineRule="auto"/>
        <w:rPr>
          <w:rFonts w:hint="eastAsia" w:ascii="宋体" w:hAnsi="宋体" w:eastAsia="宋体" w:cs="宋体"/>
          <w:sz w:val="24"/>
          <w:szCs w:val="24"/>
        </w:rPr>
      </w:pPr>
      <w:r>
        <w:rPr>
          <w:rFonts w:hint="eastAsia" w:ascii="宋体" w:hAnsi="宋体" w:eastAsia="宋体" w:cs="宋体"/>
          <w:sz w:val="24"/>
          <w:szCs w:val="24"/>
        </w:rPr>
        <w:t>(2)社会经济和科技发展水平</w:t>
      </w:r>
    </w:p>
    <w:p w14:paraId="7BBC7671">
      <w:pPr>
        <w:pStyle w:val="3"/>
        <w:tabs>
          <w:tab w:val="left" w:pos="3544"/>
        </w:tabs>
        <w:snapToGrid w:val="0"/>
        <w:spacing w:line="360" w:lineRule="auto"/>
        <w:jc w:val="center"/>
        <w:rPr>
          <w:rFonts w:hint="eastAsia" w:ascii="宋体" w:hAnsi="宋体" w:eastAsia="宋体" w:cs="宋体"/>
          <w:sz w:val="24"/>
          <w:szCs w:val="24"/>
        </w:rPr>
      </w:pPr>
      <w:r>
        <w:drawing>
          <wp:inline distT="0" distB="0" distL="114300" distR="114300">
            <wp:extent cx="3016885" cy="1092835"/>
            <wp:effectExtent l="0" t="0" r="12065"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3016885" cy="1092835"/>
                    </a:xfrm>
                    <a:prstGeom prst="rect">
                      <a:avLst/>
                    </a:prstGeom>
                    <a:noFill/>
                    <a:ln>
                      <a:noFill/>
                    </a:ln>
                  </pic:spPr>
                </pic:pic>
              </a:graphicData>
            </a:graphic>
          </wp:inline>
        </w:drawing>
      </w:r>
    </w:p>
    <w:p w14:paraId="24737431">
      <w:pPr>
        <w:pStyle w:val="3"/>
        <w:tabs>
          <w:tab w:val="left" w:pos="3544"/>
        </w:tabs>
        <w:snapToGrid w:val="0"/>
        <w:spacing w:line="360" w:lineRule="auto"/>
        <w:rPr>
          <w:rFonts w:hint="eastAsia" w:ascii="宋体" w:hAnsi="宋体" w:eastAsia="宋体" w:cs="宋体"/>
          <w:sz w:val="24"/>
          <w:szCs w:val="24"/>
        </w:rPr>
      </w:pPr>
      <w:r>
        <w:rPr>
          <w:rFonts w:hint="eastAsia" w:ascii="宋体" w:hAnsi="宋体" w:eastAsia="宋体" w:cs="宋体"/>
          <w:sz w:val="24"/>
          <w:szCs w:val="24"/>
        </w:rPr>
        <w:t>(3)人均消费水平：区域资源环境承载力会随着消费水平的提高而</w:t>
      </w:r>
      <w:r>
        <w:rPr>
          <w:rFonts w:hint="eastAsia" w:ascii="宋体" w:hAnsi="宋体" w:eastAsia="宋体" w:cs="宋体"/>
          <w:sz w:val="24"/>
          <w:szCs w:val="24"/>
          <w:u w:val="single"/>
        </w:rPr>
        <w:t>降低</w:t>
      </w:r>
      <w:r>
        <w:rPr>
          <w:rFonts w:hint="eastAsia" w:ascii="宋体" w:hAnsi="宋体" w:eastAsia="宋体" w:cs="宋体"/>
          <w:sz w:val="24"/>
          <w:szCs w:val="24"/>
        </w:rPr>
        <w:t>。</w:t>
      </w:r>
    </w:p>
    <w:p w14:paraId="5381F7E9">
      <w:pPr>
        <w:pStyle w:val="2"/>
        <w:spacing w:before="78" w:line="220" w:lineRule="auto"/>
        <w:rPr>
          <w:rFonts w:hint="eastAsia" w:ascii="宋体" w:hAnsi="宋体" w:eastAsia="宋体" w:cs="宋体"/>
          <w:sz w:val="24"/>
          <w:szCs w:val="24"/>
        </w:rPr>
      </w:pPr>
      <w:r>
        <w:rPr>
          <w:rFonts w:hint="eastAsia" w:ascii="宋体" w:hAnsi="宋体" w:eastAsia="宋体" w:cs="宋体"/>
          <w:spacing w:val="-2"/>
          <w:sz w:val="24"/>
          <w:szCs w:val="24"/>
        </w:rPr>
        <w:t>二、人口合理容量</w:t>
      </w:r>
    </w:p>
    <w:p w14:paraId="49947CEB">
      <w:pPr>
        <w:pStyle w:val="3"/>
        <w:tabs>
          <w:tab w:val="left" w:pos="3544"/>
        </w:tabs>
        <w:snapToGrid w:val="0"/>
        <w:spacing w:line="360" w:lineRule="auto"/>
        <w:rPr>
          <w:rFonts w:hint="eastAsia" w:ascii="宋体" w:hAnsi="宋体" w:eastAsia="宋体" w:cs="宋体"/>
          <w:sz w:val="24"/>
          <w:szCs w:val="24"/>
        </w:rPr>
      </w:pPr>
      <w:r>
        <w:rPr>
          <w:rFonts w:hint="eastAsia" w:ascii="宋体" w:hAnsi="宋体" w:eastAsia="宋体" w:cs="宋体"/>
          <w:sz w:val="24"/>
          <w:szCs w:val="24"/>
        </w:rPr>
        <w:t>1．概念：是指按照</w:t>
      </w:r>
      <w:r>
        <w:rPr>
          <w:rFonts w:hint="eastAsia" w:ascii="Times New Roman" w:hAnsi="Times New Roman" w:cs="Times New Roman" w:eastAsiaTheme="minorEastAsia"/>
          <w:kern w:val="2"/>
          <w:sz w:val="24"/>
          <w:szCs w:val="21"/>
          <w:u w:val="single"/>
          <w:lang w:val="en-US" w:eastAsia="zh-CN" w:bidi="ar-SA"/>
        </w:rPr>
        <w:t xml:space="preserve"> </w:t>
      </w:r>
      <w:r>
        <w:rPr>
          <w:rFonts w:hint="eastAsia" w:ascii="Times New Roman" w:hAnsi="Times New Roman" w:cs="Times New Roman"/>
          <w:sz w:val="24"/>
          <w:u w:val="single"/>
          <w:lang w:val="en-US" w:eastAsia="zh-CN"/>
        </w:rPr>
        <w:t xml:space="preserve">            </w:t>
      </w:r>
      <w:r>
        <w:rPr>
          <w:rFonts w:hint="eastAsia" w:ascii="宋体" w:hAnsi="宋体" w:eastAsia="宋体" w:cs="宋体"/>
          <w:sz w:val="24"/>
          <w:szCs w:val="24"/>
        </w:rPr>
        <w:t>，保障健康生活的水平，同时又在不妨碍未来人口生活质量的前提下，一个国家或地区</w:t>
      </w:r>
      <w:r>
        <w:rPr>
          <w:rFonts w:hint="eastAsia" w:ascii="Times New Roman" w:hAnsi="Times New Roman" w:cs="Times New Roman" w:eastAsiaTheme="minorEastAsia"/>
          <w:kern w:val="2"/>
          <w:sz w:val="24"/>
          <w:szCs w:val="21"/>
          <w:u w:val="single"/>
          <w:lang w:val="en-US" w:eastAsia="zh-CN" w:bidi="ar-SA"/>
        </w:rPr>
        <w:t xml:space="preserve"> </w:t>
      </w:r>
      <w:r>
        <w:rPr>
          <w:rFonts w:hint="eastAsia" w:ascii="Times New Roman" w:hAnsi="Times New Roman" w:cs="Times New Roman"/>
          <w:sz w:val="24"/>
          <w:u w:val="single"/>
          <w:lang w:val="en-US" w:eastAsia="zh-CN"/>
        </w:rPr>
        <w:t xml:space="preserve">     </w:t>
      </w:r>
      <w:r>
        <w:rPr>
          <w:rFonts w:hint="eastAsia" w:ascii="宋体" w:hAnsi="宋体" w:eastAsia="宋体" w:cs="宋体"/>
          <w:sz w:val="24"/>
          <w:szCs w:val="24"/>
        </w:rPr>
        <w:t>的人口数量。</w:t>
      </w:r>
    </w:p>
    <w:p w14:paraId="479082E0">
      <w:pPr>
        <w:pStyle w:val="3"/>
        <w:tabs>
          <w:tab w:val="left" w:pos="3544"/>
        </w:tabs>
        <w:snapToGrid w:val="0"/>
        <w:spacing w:line="360" w:lineRule="auto"/>
        <w:rPr>
          <w:rFonts w:hint="eastAsia" w:ascii="宋体" w:hAnsi="宋体" w:eastAsia="宋体" w:cs="宋体"/>
          <w:sz w:val="24"/>
          <w:szCs w:val="24"/>
        </w:rPr>
      </w:pPr>
      <w:r>
        <w:rPr>
          <w:rFonts w:hint="eastAsia" w:ascii="宋体" w:hAnsi="宋体" w:eastAsia="宋体" w:cs="宋体"/>
          <w:sz w:val="24"/>
          <w:szCs w:val="24"/>
        </w:rPr>
        <w:t>2．特点：人口合理容量是人口与资源、环境、经济、</w:t>
      </w:r>
      <w:r>
        <w:rPr>
          <w:rFonts w:hint="eastAsia" w:ascii="宋体" w:hAnsi="宋体" w:eastAsia="宋体" w:cs="宋体"/>
          <w:sz w:val="24"/>
          <w:szCs w:val="24"/>
          <w:u w:val="single"/>
        </w:rPr>
        <w:t>社会</w:t>
      </w:r>
      <w:r>
        <w:rPr>
          <w:rFonts w:hint="eastAsia" w:ascii="宋体" w:hAnsi="宋体" w:eastAsia="宋体" w:cs="宋体"/>
          <w:sz w:val="24"/>
          <w:szCs w:val="24"/>
        </w:rPr>
        <w:t>协调发展的必要条件，其数值要</w:t>
      </w:r>
      <w:r>
        <w:rPr>
          <w:rFonts w:hint="eastAsia" w:ascii="Times New Roman" w:hAnsi="Times New Roman" w:cs="Times New Roman" w:eastAsiaTheme="minorEastAsia"/>
          <w:kern w:val="2"/>
          <w:sz w:val="24"/>
          <w:szCs w:val="21"/>
          <w:u w:val="single"/>
          <w:lang w:val="en-US" w:eastAsia="zh-CN" w:bidi="ar-SA"/>
        </w:rPr>
        <w:t xml:space="preserve"> </w:t>
      </w:r>
      <w:r>
        <w:rPr>
          <w:rFonts w:hint="eastAsia" w:ascii="Times New Roman" w:hAnsi="Times New Roman" w:cs="Times New Roman"/>
          <w:sz w:val="24"/>
          <w:u w:val="single"/>
          <w:lang w:val="en-US" w:eastAsia="zh-CN"/>
        </w:rPr>
        <w:t xml:space="preserve">     </w:t>
      </w:r>
      <w:r>
        <w:rPr>
          <w:rFonts w:hint="eastAsia" w:ascii="宋体" w:hAnsi="宋体" w:eastAsia="宋体" w:cs="宋体"/>
          <w:sz w:val="24"/>
          <w:szCs w:val="24"/>
        </w:rPr>
        <w:t>资源环境承载力；是一个理想的、难以确定</w:t>
      </w:r>
      <w:r>
        <w:rPr>
          <w:rFonts w:hint="eastAsia" w:ascii="Times New Roman" w:hAnsi="Times New Roman" w:cs="Times New Roman" w:eastAsiaTheme="minorEastAsia"/>
          <w:kern w:val="2"/>
          <w:sz w:val="24"/>
          <w:szCs w:val="21"/>
          <w:u w:val="single"/>
          <w:lang w:val="en-US" w:eastAsia="zh-CN" w:bidi="ar-SA"/>
        </w:rPr>
        <w:t xml:space="preserve"> </w:t>
      </w:r>
      <w:r>
        <w:rPr>
          <w:rFonts w:hint="eastAsia" w:ascii="Times New Roman" w:hAnsi="Times New Roman" w:cs="Times New Roman"/>
          <w:sz w:val="24"/>
          <w:u w:val="single"/>
          <w:lang w:val="en-US" w:eastAsia="zh-CN"/>
        </w:rPr>
        <w:t xml:space="preserve">      </w:t>
      </w:r>
      <w:r>
        <w:rPr>
          <w:rFonts w:hint="eastAsia" w:ascii="宋体" w:hAnsi="宋体" w:eastAsia="宋体" w:cs="宋体"/>
          <w:sz w:val="24"/>
          <w:szCs w:val="24"/>
        </w:rPr>
        <w:t>的“虚数”。</w:t>
      </w:r>
    </w:p>
    <w:p w14:paraId="30B4599A">
      <w:pPr>
        <w:pStyle w:val="3"/>
        <w:tabs>
          <w:tab w:val="left" w:pos="3544"/>
        </w:tabs>
        <w:snapToGrid w:val="0"/>
        <w:spacing w:line="360" w:lineRule="auto"/>
        <w:rPr>
          <w:rFonts w:hint="eastAsia" w:ascii="宋体" w:hAnsi="宋体" w:eastAsia="宋体" w:cs="宋体"/>
          <w:sz w:val="24"/>
          <w:szCs w:val="24"/>
        </w:rPr>
      </w:pPr>
      <w:r>
        <w:rPr>
          <w:rFonts w:hint="eastAsia" w:ascii="宋体" w:hAnsi="宋体" w:eastAsia="宋体" w:cs="宋体"/>
          <w:sz w:val="24"/>
          <w:szCs w:val="24"/>
        </w:rPr>
        <w:t>3．意义：人口合理容量对于制定一个地区或一个国家的人口战略和人口政策有着重要意义，进而影响区域的社会经济发展。</w:t>
      </w:r>
    </w:p>
    <w:p w14:paraId="2B177DC3">
      <w:pPr>
        <w:pStyle w:val="3"/>
        <w:tabs>
          <w:tab w:val="left" w:pos="3544"/>
        </w:tabs>
        <w:snapToGrid w:val="0"/>
        <w:spacing w:line="360" w:lineRule="auto"/>
        <w:rPr>
          <w:rFonts w:hint="eastAsia" w:ascii="宋体" w:hAnsi="宋体" w:eastAsia="宋体" w:cs="宋体"/>
          <w:sz w:val="24"/>
          <w:szCs w:val="24"/>
        </w:rPr>
      </w:pPr>
      <w:r>
        <w:rPr>
          <w:rFonts w:hint="eastAsia" w:ascii="宋体" w:hAnsi="宋体" w:eastAsia="宋体" w:cs="宋体"/>
          <w:sz w:val="24"/>
          <w:szCs w:val="24"/>
        </w:rPr>
        <w:t>4．保持人口合理容量的措施</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6944"/>
      </w:tblGrid>
      <w:tr w14:paraId="2007E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shd w:val="clear" w:color="auto" w:fill="auto"/>
            <w:vAlign w:val="center"/>
          </w:tcPr>
          <w:p w14:paraId="31315250">
            <w:pPr>
              <w:pStyle w:val="3"/>
              <w:tabs>
                <w:tab w:val="left" w:pos="3544"/>
              </w:tabs>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区域</w:t>
            </w:r>
          </w:p>
        </w:tc>
        <w:tc>
          <w:tcPr>
            <w:tcW w:w="6944" w:type="dxa"/>
            <w:shd w:val="clear" w:color="auto" w:fill="auto"/>
            <w:vAlign w:val="center"/>
          </w:tcPr>
          <w:p w14:paraId="4834DD33">
            <w:pPr>
              <w:pStyle w:val="3"/>
              <w:tabs>
                <w:tab w:val="left" w:pos="3544"/>
              </w:tabs>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具体措施</w:t>
            </w:r>
          </w:p>
        </w:tc>
      </w:tr>
      <w:tr w14:paraId="4084E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Merge w:val="restart"/>
            <w:shd w:val="clear" w:color="auto" w:fill="auto"/>
            <w:vAlign w:val="center"/>
          </w:tcPr>
          <w:p w14:paraId="28CDD7B2">
            <w:pPr>
              <w:pStyle w:val="3"/>
              <w:tabs>
                <w:tab w:val="left" w:pos="3544"/>
              </w:tabs>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世界</w:t>
            </w:r>
          </w:p>
        </w:tc>
        <w:tc>
          <w:tcPr>
            <w:tcW w:w="6944" w:type="dxa"/>
            <w:shd w:val="clear" w:color="auto" w:fill="auto"/>
            <w:vAlign w:val="center"/>
          </w:tcPr>
          <w:p w14:paraId="36A317AA">
            <w:pPr>
              <w:pStyle w:val="3"/>
              <w:tabs>
                <w:tab w:val="left" w:pos="3544"/>
              </w:tabs>
              <w:snapToGrid w:val="0"/>
              <w:spacing w:line="360" w:lineRule="auto"/>
              <w:jc w:val="center"/>
              <w:rPr>
                <w:rFonts w:hint="eastAsia" w:ascii="宋体" w:hAnsi="宋体" w:eastAsia="宋体" w:cs="宋体"/>
                <w:sz w:val="24"/>
                <w:szCs w:val="24"/>
              </w:rPr>
            </w:pPr>
            <w:r>
              <w:rPr>
                <w:rFonts w:hint="eastAsia" w:ascii="Times New Roman" w:hAnsi="Times New Roman" w:cs="Times New Roman" w:eastAsiaTheme="minorEastAsia"/>
                <w:kern w:val="2"/>
                <w:sz w:val="24"/>
                <w:szCs w:val="21"/>
                <w:u w:val="single"/>
                <w:lang w:val="en-US" w:eastAsia="zh-CN" w:bidi="ar-SA"/>
              </w:rPr>
              <w:t xml:space="preserve"> </w:t>
            </w:r>
            <w:r>
              <w:rPr>
                <w:rFonts w:hint="eastAsia" w:ascii="Times New Roman" w:hAnsi="Times New Roman" w:cs="Times New Roman"/>
                <w:kern w:val="2"/>
                <w:sz w:val="24"/>
                <w:szCs w:val="21"/>
                <w:u w:val="single"/>
                <w:lang w:val="en-US" w:eastAsia="zh-CN" w:bidi="ar-SA"/>
              </w:rPr>
              <w:t xml:space="preserve">   </w:t>
            </w:r>
            <w:r>
              <w:rPr>
                <w:rFonts w:hint="eastAsia" w:ascii="Times New Roman" w:hAnsi="Times New Roman" w:cs="Times New Roman"/>
                <w:sz w:val="24"/>
                <w:u w:val="single"/>
                <w:lang w:val="en-US" w:eastAsia="zh-CN"/>
              </w:rPr>
              <w:t xml:space="preserve">     </w:t>
            </w:r>
            <w:r>
              <w:rPr>
                <w:rFonts w:hint="eastAsia" w:ascii="宋体" w:hAnsi="宋体" w:eastAsia="宋体" w:cs="宋体"/>
                <w:sz w:val="24"/>
                <w:szCs w:val="24"/>
              </w:rPr>
              <w:t>要尽最大可能把人口控制在</w:t>
            </w:r>
            <w:r>
              <w:rPr>
                <w:rFonts w:hint="eastAsia" w:ascii="Times New Roman" w:hAnsi="Times New Roman" w:cs="Times New Roman" w:eastAsiaTheme="minorEastAsia"/>
                <w:kern w:val="2"/>
                <w:sz w:val="24"/>
                <w:szCs w:val="21"/>
                <w:u w:val="single"/>
                <w:lang w:val="en-US" w:eastAsia="zh-CN" w:bidi="ar-SA"/>
              </w:rPr>
              <w:t xml:space="preserve"> </w:t>
            </w:r>
            <w:r>
              <w:rPr>
                <w:rFonts w:hint="eastAsia" w:ascii="Times New Roman" w:hAnsi="Times New Roman" w:cs="Times New Roman"/>
                <w:sz w:val="24"/>
                <w:u w:val="single"/>
                <w:lang w:val="en-US" w:eastAsia="zh-CN"/>
              </w:rPr>
              <w:t xml:space="preserve">     </w:t>
            </w:r>
            <w:r>
              <w:rPr>
                <w:rFonts w:hint="eastAsia" w:ascii="宋体" w:hAnsi="宋体" w:eastAsia="宋体" w:cs="宋体"/>
                <w:sz w:val="24"/>
                <w:szCs w:val="24"/>
              </w:rPr>
              <w:t>的规模之内</w:t>
            </w:r>
          </w:p>
        </w:tc>
      </w:tr>
      <w:tr w14:paraId="6F350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Merge w:val="continue"/>
            <w:shd w:val="clear" w:color="auto" w:fill="auto"/>
            <w:vAlign w:val="center"/>
          </w:tcPr>
          <w:p w14:paraId="4C368598">
            <w:pPr>
              <w:pStyle w:val="3"/>
              <w:tabs>
                <w:tab w:val="left" w:pos="3544"/>
              </w:tabs>
              <w:snapToGrid w:val="0"/>
              <w:spacing w:line="360" w:lineRule="auto"/>
              <w:jc w:val="center"/>
              <w:rPr>
                <w:rFonts w:hint="eastAsia" w:ascii="宋体" w:hAnsi="宋体" w:eastAsia="宋体" w:cs="宋体"/>
                <w:sz w:val="24"/>
                <w:szCs w:val="24"/>
              </w:rPr>
            </w:pPr>
          </w:p>
        </w:tc>
        <w:tc>
          <w:tcPr>
            <w:tcW w:w="6944" w:type="dxa"/>
            <w:shd w:val="clear" w:color="auto" w:fill="auto"/>
            <w:vAlign w:val="center"/>
          </w:tcPr>
          <w:p w14:paraId="15A4ED81">
            <w:pPr>
              <w:pStyle w:val="3"/>
              <w:tabs>
                <w:tab w:val="left" w:pos="3544"/>
              </w:tabs>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建立</w:t>
            </w:r>
            <w:r>
              <w:rPr>
                <w:rFonts w:hint="eastAsia" w:ascii="Times New Roman" w:hAnsi="Times New Roman" w:cs="Times New Roman" w:eastAsiaTheme="minorEastAsia"/>
                <w:kern w:val="2"/>
                <w:sz w:val="24"/>
                <w:szCs w:val="21"/>
                <w:u w:val="single"/>
                <w:lang w:val="en-US" w:eastAsia="zh-CN" w:bidi="ar-SA"/>
              </w:rPr>
              <w:t xml:space="preserve"> </w:t>
            </w:r>
            <w:r>
              <w:rPr>
                <w:rFonts w:hint="eastAsia" w:ascii="Times New Roman" w:hAnsi="Times New Roman" w:cs="Times New Roman"/>
                <w:sz w:val="24"/>
                <w:u w:val="single"/>
                <w:lang w:val="en-US" w:eastAsia="zh-CN"/>
              </w:rPr>
              <w:t xml:space="preserve">     </w:t>
            </w:r>
            <w:r>
              <w:rPr>
                <w:rFonts w:hint="eastAsia" w:ascii="宋体" w:hAnsi="宋体" w:eastAsia="宋体" w:cs="宋体"/>
                <w:sz w:val="24"/>
                <w:szCs w:val="24"/>
              </w:rPr>
              <w:t>的国际秩序，保证人人拥有不断追求高水平生活质量的平等权利</w:t>
            </w:r>
          </w:p>
        </w:tc>
      </w:tr>
      <w:tr w14:paraId="6D8C2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shd w:val="clear" w:color="auto" w:fill="auto"/>
            <w:vAlign w:val="center"/>
          </w:tcPr>
          <w:p w14:paraId="0BC4253E">
            <w:pPr>
              <w:pStyle w:val="3"/>
              <w:tabs>
                <w:tab w:val="left" w:pos="3544"/>
              </w:tabs>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各国、各地区</w:t>
            </w:r>
          </w:p>
        </w:tc>
        <w:tc>
          <w:tcPr>
            <w:tcW w:w="6944" w:type="dxa"/>
            <w:shd w:val="clear" w:color="auto" w:fill="auto"/>
            <w:vAlign w:val="center"/>
          </w:tcPr>
          <w:p w14:paraId="7D94BEF5">
            <w:pPr>
              <w:pStyle w:val="3"/>
              <w:tabs>
                <w:tab w:val="left" w:pos="3544"/>
              </w:tabs>
              <w:snapToGrid w:val="0"/>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应尊重人地协调发展的客观规律</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因地制宜制定本区域可持续发展战略</w:t>
            </w:r>
          </w:p>
        </w:tc>
      </w:tr>
    </w:tbl>
    <w:p w14:paraId="1C170D6B">
      <w:pPr>
        <w:rPr>
          <w:rFonts w:hint="eastAsia" w:ascii="宋体" w:hAnsi="宋体" w:eastAsia="宋体" w:cs="宋体"/>
          <w:sz w:val="24"/>
          <w:szCs w:val="24"/>
        </w:rPr>
      </w:pPr>
    </w:p>
    <w:sectPr>
      <w:headerReference r:id="rId3" w:type="default"/>
      <w:pgSz w:w="11906" w:h="16838"/>
      <w:pgMar w:top="1440" w:right="1800" w:bottom="1440" w:left="1800" w:header="73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681B4">
    <w:pPr>
      <w:pStyle w:val="5"/>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7776845" cy="10908665"/>
          <wp:effectExtent l="0" t="0" r="8255" b="635"/>
          <wp:wrapNone/>
          <wp:docPr id="1" name="WordPictureWatermark39798" descr="WPS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9798" descr="WPS图片(1)"/>
                  <pic:cNvPicPr>
                    <a:picLocks noChangeAspect="1"/>
                  </pic:cNvPicPr>
                </pic:nvPicPr>
                <pic:blipFill>
                  <a:blip r:embed="rId1"/>
                  <a:stretch>
                    <a:fillRect/>
                  </a:stretch>
                </pic:blipFill>
                <pic:spPr>
                  <a:xfrm>
                    <a:off x="0" y="0"/>
                    <a:ext cx="7776845" cy="1090866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6D5544"/>
    <w:rsid w:val="08481CBD"/>
    <w:rsid w:val="0DCB60E5"/>
    <w:rsid w:val="0F8057FD"/>
    <w:rsid w:val="1279052F"/>
    <w:rsid w:val="248E7F46"/>
    <w:rsid w:val="4471002B"/>
    <w:rsid w:val="4AB34F27"/>
    <w:rsid w:val="4B8D7E43"/>
    <w:rsid w:val="586D5544"/>
    <w:rsid w:val="5B56564E"/>
    <w:rsid w:val="5C0608C2"/>
    <w:rsid w:val="73F37760"/>
    <w:rsid w:val="7D4C3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Table Text"/>
    <w:basedOn w:val="1"/>
    <w:semiHidden/>
    <w:qFormat/>
    <w:uiPriority w:val="0"/>
    <w:rPr>
      <w:rFonts w:ascii="宋体" w:hAnsi="宋体" w:eastAsia="宋体" w:cs="宋体"/>
      <w:sz w:val="20"/>
      <w:szCs w:val="20"/>
      <w:lang w:val="en-US" w:eastAsia="en-US" w:bidi="ar-SA"/>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482</Words>
  <Characters>488</Characters>
  <Lines>0</Lines>
  <Paragraphs>0</Paragraphs>
  <TotalTime>0</TotalTime>
  <ScaleCrop>false</ScaleCrop>
  <LinksUpToDate>false</LinksUpToDate>
  <CharactersWithSpaces>575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2025-09-01T06:39:00Z</dcterms:created>
  <dc:creator>zwjy</dc:creator>
  <cp:lastModifiedBy>LI</cp:lastModifiedBy>
  <dcterms:modified xsi:type="dcterms:W3CDTF">2025-10-16T01:52:30Z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A51B2DE12F8543E392CE477EE2A6B222_11</vt:lpwstr>
  </property>
  <property fmtid="{D5CDD505-2E9C-101B-9397-08002B2CF9AE}" pid="4" name="KSOTemplateDocerSaveRecord">
    <vt:lpwstr>eyJoZGlkIjoiMWJlMDJhMjAyYmVjODRmNDk4YjdjNDUzYzBmYTZiMGMifQ==</vt:lpwstr>
  </property>
</Properties>
</file>